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35A4F3A3" w14:textId="1C32BC71"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for STATE FORMULA GRANT PROGRAMS under the Individuals with Disabilities Education Act</w:t>
      </w:r>
    </w:p>
    <w:p w14:paraId="14238AAF" w14:textId="132F911A"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01214A">
        <w:rPr>
          <w:rFonts w:cs="Arial"/>
          <w:b/>
          <w:bCs/>
          <w:color w:val="000000" w:themeColor="text1"/>
          <w:sz w:val="28"/>
          <w:szCs w:val="28"/>
        </w:rPr>
        <w:t>2</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Nevada</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22DE4E51"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February 1, 202</w:t>
      </w:r>
      <w:r w:rsidR="00F14FB2">
        <w:rPr>
          <w:rFonts w:cs="Arial"/>
          <w:b/>
          <w:bCs/>
          <w:color w:val="000000" w:themeColor="text1"/>
          <w:sz w:val="24"/>
          <w:szCs w:val="24"/>
        </w:rPr>
        <w:t>4</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2C9FB663"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0358795"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Provide sufficient detail to ensure that the Secretary and the public are informed of and understand the State’s systems designed to drive improved results for infants and toddlers with disabilities and their families and to ensure that the Lead Agency (LA) 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 xml:space="preserve">The Nevada Department of Health and Human Services IDEA Part C Office, as Nevada’s lead agency for the statewide EI system, works diligently with key stakeholders, including the State Interagency Coordinating Council (ICC), in the yearly development of the State Performance Plan / Annual Performance Report (SPP/APR). The SPP/APR serves as both a progress report for Nevada’s EI system and as a report for the State’s stakeholders. The State of Nevada’s IDEA Part C FFY 2022 SPP/APR covers the timeframe from July 1, </w:t>
      </w:r>
      <w:proofErr w:type="gramStart"/>
      <w:r w:rsidRPr="00ED172B">
        <w:rPr>
          <w:color w:val="000000" w:themeColor="text1"/>
        </w:rPr>
        <w:t>2022</w:t>
      </w:r>
      <w:proofErr w:type="gramEnd"/>
      <w:r w:rsidRPr="00ED172B">
        <w:rPr>
          <w:color w:val="000000" w:themeColor="text1"/>
        </w:rPr>
        <w:t xml:space="preserve"> through June 30, 2023. This timeframe is Federal Fiscal Year (FFY) 2022, State Fiscal Year (SFY) 2023. </w:t>
      </w:r>
      <w:r w:rsidRPr="00ED172B">
        <w:rPr>
          <w:color w:val="000000" w:themeColor="text1"/>
        </w:rPr>
        <w:br/>
        <w:t xml:space="preserve"> </w:t>
      </w:r>
      <w:r w:rsidRPr="00ED172B">
        <w:rPr>
          <w:color w:val="000000" w:themeColor="text1"/>
        </w:rPr>
        <w:br/>
        <w:t>Provided here is an overview of Nevada’s annual performance/indicator results and systems that are in place to ensure compliance with IDEA Part C requirements and purposes.</w:t>
      </w:r>
      <w:r w:rsidRPr="00ED172B">
        <w:rPr>
          <w:color w:val="000000" w:themeColor="text1"/>
        </w:rPr>
        <w:br/>
      </w:r>
      <w:r w:rsidRPr="00ED172B">
        <w:rPr>
          <w:color w:val="000000" w:themeColor="text1"/>
        </w:rPr>
        <w:br/>
        <w:t>FFY 2022 Indicator Results</w:t>
      </w:r>
      <w:r w:rsidRPr="00ED172B">
        <w:rPr>
          <w:color w:val="000000" w:themeColor="text1"/>
        </w:rPr>
        <w:br/>
      </w:r>
      <w:r w:rsidRPr="00ED172B">
        <w:rPr>
          <w:color w:val="000000" w:themeColor="text1"/>
        </w:rPr>
        <w:br/>
        <w:t>Indicator 1. Timely Provision of Services: Did not meet target; Slippage.</w:t>
      </w:r>
      <w:r w:rsidRPr="00ED172B">
        <w:rPr>
          <w:color w:val="000000" w:themeColor="text1"/>
        </w:rPr>
        <w:br/>
        <w:t>Target: 100%. FFY 2021 data: 92.03%. FFY 2022 data: 86.36%.</w:t>
      </w:r>
      <w:r w:rsidRPr="00ED172B">
        <w:rPr>
          <w:color w:val="000000" w:themeColor="text1"/>
        </w:rPr>
        <w:br/>
      </w:r>
      <w:r w:rsidRPr="00ED172B">
        <w:rPr>
          <w:color w:val="000000" w:themeColor="text1"/>
        </w:rPr>
        <w:br/>
        <w:t>Indicator 2. Services in Natural Environments: Met target; No slippage</w:t>
      </w:r>
      <w:r w:rsidRPr="00ED172B">
        <w:rPr>
          <w:color w:val="000000" w:themeColor="text1"/>
        </w:rPr>
        <w:br/>
        <w:t>FFY 2021 data: 99.50%. FFY 2022 Target: 98.37%. FFY 2022 data: 99.21%.</w:t>
      </w:r>
      <w:r w:rsidRPr="00ED172B">
        <w:rPr>
          <w:color w:val="000000" w:themeColor="text1"/>
        </w:rPr>
        <w:br/>
      </w:r>
      <w:r w:rsidRPr="00ED172B">
        <w:rPr>
          <w:color w:val="000000" w:themeColor="text1"/>
        </w:rPr>
        <w:br/>
        <w:t>Indicator 3. Child Outcomes</w:t>
      </w:r>
      <w:r w:rsidRPr="00ED172B">
        <w:rPr>
          <w:color w:val="000000" w:themeColor="text1"/>
        </w:rPr>
        <w:br/>
      </w:r>
      <w:r w:rsidRPr="00ED172B">
        <w:rPr>
          <w:color w:val="000000" w:themeColor="text1"/>
        </w:rPr>
        <w:br/>
        <w:t>3 A1. Met Target; No Slippage</w:t>
      </w:r>
      <w:r w:rsidRPr="00ED172B">
        <w:rPr>
          <w:color w:val="000000" w:themeColor="text1"/>
        </w:rPr>
        <w:br/>
        <w:t>A1. Of those children who entered or exited the program below age expectations in Outcome A, the percent who substantially increased their rate of growth by the time they turned 3 years of age or exited the program</w:t>
      </w:r>
      <w:r w:rsidRPr="00ED172B">
        <w:rPr>
          <w:color w:val="000000" w:themeColor="text1"/>
        </w:rPr>
        <w:br/>
        <w:t>FFY 2021 data: 75% FFY 2022 Target: 69.49% FFY 2022 data: 79.62%.</w:t>
      </w:r>
      <w:r w:rsidRPr="00ED172B">
        <w:rPr>
          <w:color w:val="000000" w:themeColor="text1"/>
        </w:rPr>
        <w:br/>
      </w:r>
      <w:r w:rsidRPr="00ED172B">
        <w:rPr>
          <w:color w:val="000000" w:themeColor="text1"/>
        </w:rPr>
        <w:br/>
        <w:t>3 A2. Did not meet Target; Slippage occurred</w:t>
      </w:r>
      <w:r w:rsidRPr="00ED172B">
        <w:rPr>
          <w:color w:val="000000" w:themeColor="text1"/>
        </w:rPr>
        <w:br/>
        <w:t>A2. The percent of infants and toddlers who were functioning within age expectations in Outcome A by the time they turned 3 years of age or exited the program</w:t>
      </w:r>
      <w:r w:rsidRPr="00ED172B">
        <w:rPr>
          <w:color w:val="000000" w:themeColor="text1"/>
        </w:rPr>
        <w:br/>
        <w:t>FFY 2021 data: 35.19%. FFY 2022 Target: 40.34%. FFY 2022 data: 28.07%.</w:t>
      </w:r>
      <w:r w:rsidRPr="00ED172B">
        <w:rPr>
          <w:color w:val="000000" w:themeColor="text1"/>
        </w:rPr>
        <w:br/>
      </w:r>
      <w:r w:rsidRPr="00ED172B">
        <w:rPr>
          <w:color w:val="000000" w:themeColor="text1"/>
        </w:rPr>
        <w:br/>
        <w:t>3 B1. Met Target; No Slippage</w:t>
      </w:r>
      <w:r w:rsidRPr="00ED172B">
        <w:rPr>
          <w:color w:val="000000" w:themeColor="text1"/>
        </w:rPr>
        <w:br/>
        <w:t>B1. Of those children who entered or exited the program below age expectations in Outcome B, the percent who substantially increased their rate of growth by the time they turned 3 years of age or exited the program</w:t>
      </w:r>
      <w:r w:rsidRPr="00ED172B">
        <w:rPr>
          <w:color w:val="000000" w:themeColor="text1"/>
        </w:rPr>
        <w:br/>
        <w:t>FFY 2021 data: 70.06%. FFY 2022 Target: 72.16%. FFY 2022 data: 79.64%</w:t>
      </w:r>
      <w:r w:rsidRPr="00ED172B">
        <w:rPr>
          <w:color w:val="000000" w:themeColor="text1"/>
        </w:rPr>
        <w:br/>
      </w:r>
      <w:r w:rsidRPr="00ED172B">
        <w:rPr>
          <w:color w:val="000000" w:themeColor="text1"/>
        </w:rPr>
        <w:br/>
        <w:t>3 B2. Did not meet Target; Slippage occurred.</w:t>
      </w:r>
      <w:r w:rsidRPr="00ED172B">
        <w:rPr>
          <w:color w:val="000000" w:themeColor="text1"/>
        </w:rPr>
        <w:br/>
        <w:t>B2. The percent of infants and toddlers who were functioning within age expectations in Outcome B by the time they turned 3 years of age or exited the program</w:t>
      </w:r>
      <w:r w:rsidRPr="00ED172B">
        <w:rPr>
          <w:color w:val="000000" w:themeColor="text1"/>
        </w:rPr>
        <w:br/>
        <w:t>FFY 2021 data: 33.87%. FFY 2022 Target: 38.64%. FFY 2022 data: 26.55%.</w:t>
      </w:r>
      <w:r w:rsidRPr="00ED172B">
        <w:rPr>
          <w:color w:val="000000" w:themeColor="text1"/>
        </w:rPr>
        <w:br/>
      </w:r>
      <w:r w:rsidRPr="00ED172B">
        <w:rPr>
          <w:color w:val="000000" w:themeColor="text1"/>
        </w:rPr>
        <w:br/>
        <w:t>3 C1. Met Target; No Slippage</w:t>
      </w:r>
      <w:r w:rsidRPr="00ED172B">
        <w:rPr>
          <w:color w:val="000000" w:themeColor="text1"/>
        </w:rPr>
        <w:br/>
        <w:t>C1. Of those children who entered or exited the program below age expectations in Outcome C, the percent who substantially increased their rate of growth by the time they turned 3 years of age or exited the program</w:t>
      </w:r>
      <w:r w:rsidRPr="00ED172B">
        <w:rPr>
          <w:color w:val="000000" w:themeColor="text1"/>
        </w:rPr>
        <w:br/>
        <w:t>FFY 2021 data: 75.85%. FFY 2022 Target: 66.48% FFY 2022 data: 77.10%</w:t>
      </w:r>
      <w:r w:rsidRPr="00ED172B">
        <w:rPr>
          <w:color w:val="000000" w:themeColor="text1"/>
        </w:rPr>
        <w:br/>
      </w:r>
      <w:r w:rsidRPr="00ED172B">
        <w:rPr>
          <w:color w:val="000000" w:themeColor="text1"/>
        </w:rPr>
        <w:br/>
        <w:t>3 C2. Did not meet Target; Slippage occurred</w:t>
      </w:r>
      <w:r w:rsidRPr="00ED172B">
        <w:rPr>
          <w:color w:val="000000" w:themeColor="text1"/>
        </w:rPr>
        <w:br/>
        <w:t>C2. The percent of infants and toddlers who were functioning within age expectations in Outcome C by the time they turned 3 years of age or exited the program</w:t>
      </w:r>
      <w:r w:rsidRPr="00ED172B">
        <w:rPr>
          <w:color w:val="000000" w:themeColor="text1"/>
        </w:rPr>
        <w:br/>
        <w:t>FFY 2021 data: 37.79%. FFY 2022 Target: 42.10%. FFY 2022 data: 31.12%</w:t>
      </w:r>
      <w:r w:rsidRPr="00ED172B">
        <w:rPr>
          <w:color w:val="000000" w:themeColor="text1"/>
        </w:rPr>
        <w:br/>
      </w:r>
      <w:r w:rsidRPr="00ED172B">
        <w:rPr>
          <w:color w:val="000000" w:themeColor="text1"/>
        </w:rPr>
        <w:br/>
        <w:t xml:space="preserve">Indicator 4. Family Involvement: </w:t>
      </w:r>
      <w:r w:rsidRPr="00ED172B">
        <w:rPr>
          <w:color w:val="000000" w:themeColor="text1"/>
        </w:rPr>
        <w:br/>
      </w:r>
      <w:r w:rsidRPr="00ED172B">
        <w:rPr>
          <w:color w:val="000000" w:themeColor="text1"/>
        </w:rPr>
        <w:br/>
        <w:t xml:space="preserve">4 A. Did not meet target; Slippage </w:t>
      </w:r>
      <w:r w:rsidRPr="00ED172B">
        <w:rPr>
          <w:color w:val="000000" w:themeColor="text1"/>
        </w:rPr>
        <w:br/>
        <w:t>Percent of families participating in Part C who report that EI services have helped the family know their rights. FFY 2021 Data: 97.49%. FFY 2022 Target: 98.25%. FFY 2022 data: 96.40%</w:t>
      </w:r>
      <w:r w:rsidRPr="00ED172B">
        <w:rPr>
          <w:color w:val="000000" w:themeColor="text1"/>
        </w:rPr>
        <w:br/>
      </w:r>
      <w:r w:rsidRPr="00ED172B">
        <w:rPr>
          <w:color w:val="000000" w:themeColor="text1"/>
        </w:rPr>
        <w:br/>
        <w:t>4 B. Did not meet target; No slippage</w:t>
      </w:r>
      <w:r w:rsidRPr="00ED172B">
        <w:rPr>
          <w:color w:val="000000" w:themeColor="text1"/>
        </w:rPr>
        <w:br/>
        <w:t>Percent of families participating in Part C who report that EI services have helped the family effectively communicate their children’s needs. FFY 2021 data: 93.87%. FFY 2022 Target: 97.25%. FFY 2022 data: 93.62%</w:t>
      </w:r>
      <w:r w:rsidRPr="00ED172B">
        <w:rPr>
          <w:color w:val="000000" w:themeColor="text1"/>
        </w:rPr>
        <w:br/>
      </w:r>
      <w:r w:rsidRPr="00ED172B">
        <w:rPr>
          <w:color w:val="000000" w:themeColor="text1"/>
        </w:rPr>
        <w:br/>
        <w:t>4 C. Did not meet target; Slippage</w:t>
      </w:r>
      <w:r w:rsidRPr="00ED172B">
        <w:rPr>
          <w:color w:val="000000" w:themeColor="text1"/>
        </w:rPr>
        <w:br/>
        <w:t>Percent of families participating in Part C who report that EI services have helped the family help their children develop and learn: FFY 2021 data: 96.37%. FFY 2022 Target: 95.25%. FFY 2022 Data: 95.00%</w:t>
      </w:r>
      <w:r w:rsidRPr="00ED172B">
        <w:rPr>
          <w:color w:val="000000" w:themeColor="text1"/>
        </w:rPr>
        <w:br/>
      </w:r>
      <w:r w:rsidRPr="00ED172B">
        <w:rPr>
          <w:color w:val="000000" w:themeColor="text1"/>
        </w:rPr>
        <w:br/>
        <w:t>Indicator 5. Child Find (Birth to One): Met target; No slippage</w:t>
      </w:r>
      <w:r w:rsidRPr="00ED172B">
        <w:rPr>
          <w:color w:val="000000" w:themeColor="text1"/>
        </w:rPr>
        <w:br/>
        <w:t xml:space="preserve">Number of infants birth to 1 year with IFSPs in Nevada’s population of </w:t>
      </w:r>
      <w:proofErr w:type="gramStart"/>
      <w:r w:rsidRPr="00ED172B">
        <w:rPr>
          <w:color w:val="000000" w:themeColor="text1"/>
        </w:rPr>
        <w:t>infants</w:t>
      </w:r>
      <w:proofErr w:type="gramEnd"/>
      <w:r w:rsidRPr="00ED172B">
        <w:rPr>
          <w:color w:val="000000" w:themeColor="text1"/>
        </w:rPr>
        <w:t xml:space="preserve"> birth to 1 year.</w:t>
      </w:r>
      <w:r w:rsidRPr="00ED172B">
        <w:rPr>
          <w:color w:val="000000" w:themeColor="text1"/>
        </w:rPr>
        <w:br/>
        <w:t>FFY 2021 data: 1.30%. FFY 2022 Target: 1.16% FFY 2022 data: 1.20%</w:t>
      </w:r>
      <w:r w:rsidRPr="00ED172B">
        <w:rPr>
          <w:color w:val="000000" w:themeColor="text1"/>
        </w:rPr>
        <w:br/>
      </w:r>
      <w:r w:rsidRPr="00ED172B">
        <w:rPr>
          <w:color w:val="000000" w:themeColor="text1"/>
        </w:rPr>
        <w:lastRenderedPageBreak/>
        <w:br/>
        <w:t>Indicator 6. Child Find (Birth to Three): Met target; No slippage</w:t>
      </w:r>
      <w:r w:rsidRPr="00ED172B">
        <w:rPr>
          <w:color w:val="000000" w:themeColor="text1"/>
        </w:rPr>
        <w:br/>
        <w:t xml:space="preserve">Number of infants and </w:t>
      </w:r>
      <w:proofErr w:type="gramStart"/>
      <w:r w:rsidRPr="00ED172B">
        <w:rPr>
          <w:color w:val="000000" w:themeColor="text1"/>
        </w:rPr>
        <w:t>toddlers</w:t>
      </w:r>
      <w:proofErr w:type="gramEnd"/>
      <w:r w:rsidRPr="00ED172B">
        <w:rPr>
          <w:color w:val="000000" w:themeColor="text1"/>
        </w:rPr>
        <w:t xml:space="preserve"> birth to 3 years with IFSP’s in Nevada’s population of infants and toddlers birth to 3 years. </w:t>
      </w:r>
      <w:r w:rsidRPr="00ED172B">
        <w:rPr>
          <w:color w:val="000000" w:themeColor="text1"/>
        </w:rPr>
        <w:br/>
        <w:t>FFY 2021 data: 3.05%. FFY 2022 Target: 2.8%. FFY 2022 data: 3.2%</w:t>
      </w:r>
      <w:r w:rsidRPr="00ED172B">
        <w:rPr>
          <w:color w:val="000000" w:themeColor="text1"/>
        </w:rPr>
        <w:br/>
      </w:r>
      <w:r w:rsidRPr="00ED172B">
        <w:rPr>
          <w:color w:val="000000" w:themeColor="text1"/>
        </w:rPr>
        <w:br/>
        <w:t>Indicator 7. 45-Day Timeline: Did not meet target; No slippage.</w:t>
      </w:r>
      <w:r w:rsidRPr="00ED172B">
        <w:rPr>
          <w:color w:val="000000" w:themeColor="text1"/>
        </w:rPr>
        <w:br/>
        <w:t>FFY 2021: 95.86%. FFY 2022 Target: 100% FFY 2022 data: 96.26%</w:t>
      </w:r>
      <w:r w:rsidRPr="00ED172B">
        <w:rPr>
          <w:color w:val="000000" w:themeColor="text1"/>
        </w:rPr>
        <w:br/>
        <w:t>Number of eligible infants and toddlers with IFSPs for whom an initial evaluation and assessment and an initial IFSP meeting was conducted within Part C's 45-day timeline</w:t>
      </w:r>
      <w:r w:rsidRPr="00ED172B">
        <w:rPr>
          <w:color w:val="000000" w:themeColor="text1"/>
        </w:rPr>
        <w:br/>
      </w:r>
      <w:r w:rsidRPr="00ED172B">
        <w:rPr>
          <w:color w:val="000000" w:themeColor="text1"/>
        </w:rPr>
        <w:br/>
        <w:t>Indicator 8. Early Childhood Transition</w:t>
      </w:r>
      <w:r w:rsidRPr="00ED172B">
        <w:rPr>
          <w:color w:val="000000" w:themeColor="text1"/>
        </w:rPr>
        <w:br/>
      </w:r>
      <w:r w:rsidRPr="00ED172B">
        <w:rPr>
          <w:color w:val="000000" w:themeColor="text1"/>
        </w:rPr>
        <w:br/>
        <w:t>Indicator 8A. Met target; No slippage.</w:t>
      </w:r>
      <w:r w:rsidRPr="00ED172B">
        <w:rPr>
          <w:color w:val="000000" w:themeColor="text1"/>
        </w:rPr>
        <w:br/>
        <w:t>Data for those toddlers with disabilities exiting Part C with timely transition planning for whom the Lead Agency has developed an IFSP with transition steps and services at least 90 days, and at the discretion of all parties, not more than nine months, prior to the toddler's third birthday.</w:t>
      </w:r>
      <w:r w:rsidRPr="00ED172B">
        <w:rPr>
          <w:color w:val="000000" w:themeColor="text1"/>
        </w:rPr>
        <w:br/>
        <w:t>FFY 2021 data: 96.77%. FFY 2022 Target: 100%. FFY 2022 data: 100%</w:t>
      </w:r>
      <w:r w:rsidRPr="00ED172B">
        <w:rPr>
          <w:color w:val="000000" w:themeColor="text1"/>
        </w:rPr>
        <w:br/>
      </w:r>
      <w:r w:rsidRPr="00ED172B">
        <w:rPr>
          <w:color w:val="000000" w:themeColor="text1"/>
        </w:rPr>
        <w:br/>
        <w:t>Indicator 8B. Did not meet target: No slippage</w:t>
      </w:r>
      <w:r w:rsidRPr="00ED172B">
        <w:rPr>
          <w:color w:val="000000" w:themeColor="text1"/>
        </w:rPr>
        <w:br/>
        <w:t>FFY 2021 data: 54.98% FFY 2022 Target: 100% FFY 2022 data: 99.76%</w:t>
      </w:r>
      <w:r w:rsidRPr="00ED172B">
        <w:rPr>
          <w:color w:val="000000" w:themeColor="text1"/>
        </w:rPr>
        <w:br/>
        <w:t>Number of toddlers with disabilities exiting Part C where notification to the SEA and LEA occurred at least 90 days prior to their third birthday for toddlers potentially eligible for Part B preschool services</w:t>
      </w:r>
      <w:r w:rsidRPr="00ED172B">
        <w:rPr>
          <w:color w:val="000000" w:themeColor="text1"/>
        </w:rPr>
        <w:br/>
      </w:r>
      <w:r w:rsidRPr="00ED172B">
        <w:rPr>
          <w:color w:val="000000" w:themeColor="text1"/>
        </w:rPr>
        <w:br/>
        <w:t>Indicator 8C. Did not meet target; No slippage</w:t>
      </w:r>
      <w:r w:rsidRPr="00ED172B">
        <w:rPr>
          <w:color w:val="000000" w:themeColor="text1"/>
        </w:rPr>
        <w:br/>
        <w:t>Number of toddlers with disabilities exiting Part C where the transition conference occurred at least 90 days, and at the discretion of all parties not more than nine months prior to the toddler's third birthday for toddlers potentially eligible for Part B.</w:t>
      </w:r>
      <w:r w:rsidRPr="00ED172B">
        <w:rPr>
          <w:color w:val="000000" w:themeColor="text1"/>
        </w:rPr>
        <w:br/>
        <w:t>FFY 2021 data: 94.56%. FFY 2022 Target: 100%. FFY 2022 data: 99.59%</w:t>
      </w:r>
      <w:r w:rsidRPr="00ED172B">
        <w:rPr>
          <w:color w:val="000000" w:themeColor="text1"/>
        </w:rPr>
        <w:br/>
      </w:r>
      <w:r w:rsidRPr="00ED172B">
        <w:rPr>
          <w:color w:val="000000" w:themeColor="text1"/>
        </w:rPr>
        <w:br/>
        <w:t>Indicator 9. Resolution Sessions: 0</w:t>
      </w:r>
      <w:r w:rsidRPr="00ED172B">
        <w:rPr>
          <w:color w:val="000000" w:themeColor="text1"/>
        </w:rPr>
        <w:br/>
      </w:r>
      <w:r w:rsidRPr="00ED172B">
        <w:rPr>
          <w:color w:val="000000" w:themeColor="text1"/>
        </w:rPr>
        <w:br/>
        <w:t>Indicator 10. Mediation: 0</w:t>
      </w:r>
      <w:r w:rsidRPr="00ED172B">
        <w:rPr>
          <w:color w:val="000000" w:themeColor="text1"/>
        </w:rPr>
        <w:br/>
      </w:r>
      <w:r w:rsidRPr="00ED172B">
        <w:rPr>
          <w:color w:val="000000" w:themeColor="text1"/>
        </w:rPr>
        <w:br/>
        <w:t>Indicator 11. State Systemic Improvement Plan: Met Target; No Slippage</w:t>
      </w:r>
      <w:r w:rsidRPr="00ED172B">
        <w:rPr>
          <w:color w:val="000000" w:themeColor="text1"/>
        </w:rPr>
        <w:br/>
        <w:t>FFY 2021 data: 75% FFY 2022 Target: 69.49% FFY 2022 data: 79.62%.</w:t>
      </w:r>
      <w:r w:rsidRPr="00ED172B">
        <w:rPr>
          <w:color w:val="000000" w:themeColor="text1"/>
        </w:rPr>
        <w:br/>
        <w:t>Social emotional development: Of those children who entered or exited the program below age expectations in Outcome 3 A1, the percent who substantially increased their rate of growth by the time they turned 3 years of age or exited the program.</w:t>
      </w:r>
      <w:r w:rsidRPr="00ED172B">
        <w:rPr>
          <w:color w:val="000000" w:themeColor="text1"/>
        </w:rPr>
        <w:br/>
      </w:r>
      <w:r w:rsidRPr="00ED172B">
        <w:rPr>
          <w:color w:val="000000" w:themeColor="text1"/>
        </w:rPr>
        <w:br/>
        <w:t xml:space="preserve">Pyramid model efforts continue through statewide collaborations for action planning, professional development and retention initiatives to support improvement in social emotional development for all children receiving EI services, along with supports for infant/early childhood mental health. E-modules of pyramid practices were developed through contract with the National Pyramid Consortium; these e-modules feature personnel from Nevada and </w:t>
      </w:r>
      <w:proofErr w:type="gramStart"/>
      <w:r w:rsidRPr="00ED172B">
        <w:rPr>
          <w:color w:val="000000" w:themeColor="text1"/>
        </w:rPr>
        <w:t>NCPMI, and</w:t>
      </w:r>
      <w:proofErr w:type="gramEnd"/>
      <w:r w:rsidRPr="00ED172B">
        <w:rPr>
          <w:color w:val="000000" w:themeColor="text1"/>
        </w:rPr>
        <w:t xml:space="preserve"> were made available to all EI programs and their personnel during 2023. Further, retention initiatives, such as the new Nevada Early Intervention Professional Development Center, continue to bolster the EI workforce </w:t>
      </w:r>
      <w:proofErr w:type="gramStart"/>
      <w:r w:rsidRPr="00ED172B">
        <w:rPr>
          <w:color w:val="000000" w:themeColor="text1"/>
        </w:rPr>
        <w:t>in order to</w:t>
      </w:r>
      <w:proofErr w:type="gramEnd"/>
      <w:r w:rsidRPr="00ED172B">
        <w:rPr>
          <w:color w:val="000000" w:themeColor="text1"/>
        </w:rPr>
        <w:t xml:space="preserve"> have continuity of services for families, ongoing pyramid efforts, thus ultimately serving EI families toward optimal social emotional development which in turn promotes achievement of overall child and family outcomes. </w:t>
      </w:r>
      <w:r w:rsidRPr="00ED172B">
        <w:rPr>
          <w:color w:val="000000" w:themeColor="text1"/>
        </w:rPr>
        <w:br/>
      </w:r>
      <w:r w:rsidRPr="00ED172B">
        <w:rPr>
          <w:color w:val="000000" w:themeColor="text1"/>
        </w:rPr>
        <w:br/>
        <w:t>Nevada’s FFY 2022 SPP/APR will be submitted electronically through OSEP’s EMAPS data system by the deadline of February 1, 2024. Following OSEP’s Clarification for FFY 2022, this report will be submitted to Nevada’s Office of the Governor and posted to the Nevada IDEA Part C Office website at http://dhhs.nv.gov/Programs/IDEA/Publications/</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r w:rsidRPr="00ED172B">
        <w:rPr>
          <w:color w:val="000000" w:themeColor="text1"/>
        </w:rPr>
        <w:t xml:space="preserve">Nevada's FFY 2022 SPP/APR will be posted on the Nevada Department of Health and Human Services (DHHS) Director's Office, IDEA Part C Office website at http://dhhs.nv.gov/Programs/IDEA/Publications/ not later than May 31, </w:t>
      </w:r>
      <w:proofErr w:type="gramStart"/>
      <w:r w:rsidRPr="00ED172B">
        <w:rPr>
          <w:color w:val="000000" w:themeColor="text1"/>
        </w:rPr>
        <w:t>2024</w:t>
      </w:r>
      <w:proofErr w:type="gramEnd"/>
      <w:r w:rsidRPr="00ED172B">
        <w:rPr>
          <w:color w:val="000000" w:themeColor="text1"/>
        </w:rPr>
        <w:t xml:space="preserve"> which is 120 days from February 1, 2024. Additionally, FFY 2024 Report Cards for each of the early intervention service provider programs in the State will be posted on the same website.</w:t>
      </w:r>
    </w:p>
    <w:p w14:paraId="255BEFE2" w14:textId="0EBDC8B7" w:rsidR="00181DEB" w:rsidRPr="00ED172B" w:rsidRDefault="00181DEB">
      <w:pPr>
        <w:rPr>
          <w:b/>
          <w:color w:val="000000" w:themeColor="text1"/>
        </w:rPr>
      </w:pPr>
      <w:r w:rsidRPr="00ED172B">
        <w:rPr>
          <w:b/>
          <w:color w:val="000000" w:themeColor="text1"/>
        </w:rPr>
        <w:t>General Supervision System</w:t>
      </w:r>
    </w:p>
    <w:p w14:paraId="71F4BDA2" w14:textId="4D998B93"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w:t>
      </w:r>
    </w:p>
    <w:p w14:paraId="1B57950D" w14:textId="1D7D48FB" w:rsidR="003A4D77" w:rsidRPr="00ED172B" w:rsidRDefault="00860830" w:rsidP="00042EBF">
      <w:pPr>
        <w:rPr>
          <w:color w:val="000000" w:themeColor="text1"/>
          <w:szCs w:val="16"/>
        </w:rPr>
      </w:pPr>
      <w:r w:rsidRPr="00ED172B">
        <w:rPr>
          <w:color w:val="000000" w:themeColor="text1"/>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w:t>
      </w:r>
      <w:r w:rsidRPr="00ED172B">
        <w:rPr>
          <w:color w:val="000000" w:themeColor="text1"/>
          <w:szCs w:val="16"/>
        </w:rPr>
        <w:br/>
        <w:t>The IDEA Part C Office maintains a general supervision system that includes procedures for compliance monitoring, dispute resolution and to ensure all components of the statewide early intervention (EI) system meet requirements of Part C of the Individuals with Disabilities Education Act (IDEA). The general supervision system is also designed to evaluate the effectiveness of the EI system in improving outcomes for children and families. The system supports activities to ensure early identification of infants and toddlers with disabilities and the timely provision of early intervention services.</w:t>
      </w:r>
      <w:r w:rsidRPr="00ED172B">
        <w:rPr>
          <w:color w:val="000000" w:themeColor="text1"/>
          <w:szCs w:val="16"/>
        </w:rPr>
        <w:br/>
      </w:r>
      <w:r w:rsidRPr="00ED172B">
        <w:rPr>
          <w:color w:val="000000" w:themeColor="text1"/>
          <w:szCs w:val="16"/>
        </w:rPr>
        <w:br/>
        <w:t xml:space="preserve">Key monitoring system activities include: </w:t>
      </w:r>
      <w:r w:rsidRPr="00ED172B">
        <w:rPr>
          <w:color w:val="000000" w:themeColor="text1"/>
          <w:szCs w:val="16"/>
        </w:rPr>
        <w:br/>
      </w:r>
      <w:r w:rsidRPr="00ED172B">
        <w:rPr>
          <w:color w:val="000000" w:themeColor="text1"/>
          <w:szCs w:val="16"/>
        </w:rPr>
        <w:br/>
        <w:t xml:space="preserve">The general supervision process for comprehensive monitoring, which has been utilized and reported by the State since 2015, is to complete a review of half of the EI programs in each annual federal reporting period and the remaining EI programs in alternating years (biennially). In Nevada's Early Intervention (EI) services system is currently comprised of eleven (11) EI programs statewide which must undergo comprehensive monitoring by the IDEA Part C Office. During FFY 2022, for part of the reporting period, the EI system was comprised of twelve (12) programs, and the Part C Office was scheduled to perform comprehensive monitoring for six (6) or twelve (12) programs. However, one (1) EI program closed their early intervention program prior to comprehensive monitoring. Therefore, the Part C Office completed comprehensive virtual site monitoring for a cohort of five (5) EIS programs relative to this indicator. The remaining six (6) of eleven (11) EI programs were previously monitored in FFY 2021 and will </w:t>
      </w:r>
      <w:proofErr w:type="gramStart"/>
      <w:r w:rsidRPr="00ED172B">
        <w:rPr>
          <w:color w:val="000000" w:themeColor="text1"/>
          <w:szCs w:val="16"/>
        </w:rPr>
        <w:t>continue on</w:t>
      </w:r>
      <w:proofErr w:type="gramEnd"/>
      <w:r w:rsidRPr="00ED172B">
        <w:rPr>
          <w:color w:val="000000" w:themeColor="text1"/>
          <w:szCs w:val="16"/>
        </w:rPr>
        <w:t xml:space="preserve"> the biennial cycle. The number of children enrolled in each program was taken into consideration to ensure an equitable breakdown of the number of children served statewide, so the data is representative of all children across the state for each year of the cycle. </w:t>
      </w:r>
      <w:r w:rsidRPr="00ED172B">
        <w:rPr>
          <w:color w:val="000000" w:themeColor="text1"/>
          <w:szCs w:val="16"/>
        </w:rPr>
        <w:br/>
      </w:r>
      <w:r w:rsidRPr="00ED172B">
        <w:rPr>
          <w:color w:val="000000" w:themeColor="text1"/>
          <w:szCs w:val="16"/>
        </w:rPr>
        <w:br/>
        <w:t xml:space="preserve">• Implementing multi-level systems for verification of timeliness and accuracy of data entry by direct users with specific focus on data related to child </w:t>
      </w:r>
      <w:r w:rsidRPr="00ED172B">
        <w:rPr>
          <w:color w:val="000000" w:themeColor="text1"/>
          <w:szCs w:val="16"/>
        </w:rPr>
        <w:lastRenderedPageBreak/>
        <w:t>outcomes</w:t>
      </w:r>
      <w:r w:rsidRPr="00ED172B">
        <w:rPr>
          <w:color w:val="000000" w:themeColor="text1"/>
          <w:szCs w:val="16"/>
        </w:rPr>
        <w:br/>
        <w:t>• Conducting ongoing desk audits and focused monitoring as applicable for analyzing data across data sources to evaluate functioning of key system components at the state and program level</w:t>
      </w:r>
      <w:r w:rsidRPr="00ED172B">
        <w:rPr>
          <w:color w:val="000000" w:themeColor="text1"/>
          <w:szCs w:val="16"/>
        </w:rPr>
        <w:br/>
        <w:t>• Collecting or verifying data through on-site monitoring and focused monitoring with increased emphasis on results for infants and toddlers and their families</w:t>
      </w:r>
      <w:r w:rsidRPr="00ED172B">
        <w:rPr>
          <w:color w:val="000000" w:themeColor="text1"/>
          <w:szCs w:val="16"/>
        </w:rPr>
        <w:br/>
        <w:t>• Maintaining a system for compiling, analyzing and reporting data required under section 618 including investigation of complaints, mediation and due process requests</w:t>
      </w:r>
      <w:r w:rsidRPr="00ED172B">
        <w:rPr>
          <w:color w:val="000000" w:themeColor="text1"/>
          <w:szCs w:val="16"/>
        </w:rPr>
        <w:br/>
        <w:t>• Issuing findings of noncompliance to early intervention service providers as a result of general supervision activities (e.g., monitoring and complaint investigation), working with providers to identify underlying causes and ensuring the timely correction of noncompliance</w:t>
      </w:r>
      <w:r w:rsidRPr="00ED172B">
        <w:rPr>
          <w:color w:val="000000" w:themeColor="text1"/>
          <w:szCs w:val="16"/>
        </w:rPr>
        <w:br/>
        <w:t>• Collaborating with the Aging and Disability Services Division (ADSD) to impose sanctions when appropriate to ensure early intervention service provider program improvement and compliance</w:t>
      </w:r>
      <w:r w:rsidRPr="00ED172B">
        <w:rPr>
          <w:color w:val="000000" w:themeColor="text1"/>
          <w:szCs w:val="16"/>
        </w:rPr>
        <w:br/>
        <w:t>• Reporting to the Nevada Early Intervention Interagency Coordinating Council (ICC) and other key stakeholders on the outcomes of program monitoring and improvement</w:t>
      </w:r>
      <w:r w:rsidRPr="00ED172B">
        <w:rPr>
          <w:color w:val="000000" w:themeColor="text1"/>
          <w:szCs w:val="16"/>
        </w:rPr>
        <w:br/>
      </w:r>
      <w:r w:rsidRPr="00ED172B">
        <w:rPr>
          <w:color w:val="000000" w:themeColor="text1"/>
          <w:szCs w:val="16"/>
        </w:rPr>
        <w:br/>
        <w:t>Key dispute resolution procedures include:</w:t>
      </w:r>
      <w:r w:rsidRPr="00ED172B">
        <w:rPr>
          <w:color w:val="000000" w:themeColor="text1"/>
          <w:szCs w:val="16"/>
        </w:rPr>
        <w:br/>
      </w:r>
      <w:r w:rsidRPr="00ED172B">
        <w:rPr>
          <w:color w:val="000000" w:themeColor="text1"/>
          <w:szCs w:val="16"/>
        </w:rPr>
        <w:br/>
        <w:t>• Collaborating with families and programs to address and resolve concerns</w:t>
      </w:r>
      <w:r w:rsidRPr="00ED172B">
        <w:rPr>
          <w:color w:val="000000" w:themeColor="text1"/>
          <w:szCs w:val="16"/>
        </w:rPr>
        <w:br/>
        <w:t>• Following IDEA regulations for timely follow up of complaints from families within 60 days of the complaint</w:t>
      </w:r>
      <w:r w:rsidRPr="00ED172B">
        <w:rPr>
          <w:color w:val="000000" w:themeColor="text1"/>
          <w:szCs w:val="16"/>
        </w:rPr>
        <w:br/>
        <w:t>• Providing procedural safeguards at all junctures, with the following options available to families, including mediation, hearing, and dispute resolution</w:t>
      </w:r>
      <w:r w:rsidRPr="00ED172B">
        <w:rPr>
          <w:color w:val="000000" w:themeColor="text1"/>
          <w:szCs w:val="16"/>
        </w:rPr>
        <w:br/>
        <w:t xml:space="preserve">• Collaborating with Nevada Department of Education's Office of Inclusive Education, Part B/619 office to model dispute resolution process after Part B's dispute resolution according to IDEA as applicable; and having a board of mediators and due process hearing officers available for Part B and Part C systems shared by the Part B system to include mediators and due process hearing officers with training and experience in early childhood special education should they need to be called upon to support communication and dispute resolutions among families and programs. </w:t>
      </w:r>
      <w:r w:rsidRPr="00ED172B">
        <w:rPr>
          <w:color w:val="000000" w:themeColor="text1"/>
          <w:szCs w:val="16"/>
        </w:rPr>
        <w:br/>
      </w:r>
      <w:r w:rsidRPr="00ED172B">
        <w:rPr>
          <w:color w:val="000000" w:themeColor="text1"/>
          <w:szCs w:val="16"/>
        </w:rPr>
        <w:br/>
        <w:t>Key procedures for data collection, analysis and reporting include:</w:t>
      </w:r>
      <w:r w:rsidRPr="00ED172B">
        <w:rPr>
          <w:color w:val="000000" w:themeColor="text1"/>
          <w:szCs w:val="16"/>
        </w:rPr>
        <w:br/>
        <w:t>• The EI system began a contract with a new data system vendor during June of 2022, and discovery and preparation to obtain a new data system began during the FFY 2022 reporting period in July 2022. Data migration from the legacy Tracking Resources and Children (TRAC) data system occurred with the new data system, which was named the Nevada Early Intervention Data System (NEIDS). NEIDS went into live production during October 2023 which was following the FFY 2022 reporting period. NEIDS is meant to be the EI system’s data system that is more comprehensive and efficient at all levels of administration of the statewide EI system as compared to the previous legacy TRAC system and separate billing systems.</w:t>
      </w:r>
      <w:r w:rsidRPr="00ED172B">
        <w:rPr>
          <w:color w:val="000000" w:themeColor="text1"/>
          <w:szCs w:val="16"/>
        </w:rPr>
        <w:br/>
        <w:t xml:space="preserve">• Maintaining the new statewide data system NEIDS in transition from the legacy TRAC data system for collecting key data from the point a child is referred to the EI system to the time the child exits Part C services; NEIDS also collects critical service data throughout the time the child is enrolled in early intervention services; data migration from TRAC to NEIDS through the vendor </w:t>
      </w:r>
      <w:proofErr w:type="spellStart"/>
      <w:r w:rsidRPr="00ED172B">
        <w:rPr>
          <w:color w:val="000000" w:themeColor="text1"/>
          <w:szCs w:val="16"/>
        </w:rPr>
        <w:t>Yahasoft</w:t>
      </w:r>
      <w:proofErr w:type="spellEnd"/>
      <w:r w:rsidRPr="00ED172B">
        <w:rPr>
          <w:color w:val="000000" w:themeColor="text1"/>
          <w:szCs w:val="16"/>
        </w:rPr>
        <w:t xml:space="preserve"> occurred when NEIDS began live production during October 2023.</w:t>
      </w:r>
      <w:r w:rsidRPr="00ED172B">
        <w:rPr>
          <w:color w:val="000000" w:themeColor="text1"/>
          <w:szCs w:val="16"/>
        </w:rPr>
        <w:br/>
        <w:t>• Providing training and technical assistance (TA) to early intervention service providers regarding Part C data requirements</w:t>
      </w:r>
      <w:r w:rsidRPr="00ED172B">
        <w:rPr>
          <w:color w:val="000000" w:themeColor="text1"/>
          <w:szCs w:val="16"/>
        </w:rPr>
        <w:br/>
        <w:t>• Participating in conferences and webinars hosted by OSEP and OSEP funded TA providers</w:t>
      </w:r>
      <w:r w:rsidRPr="00ED172B">
        <w:rPr>
          <w:color w:val="000000" w:themeColor="text1"/>
          <w:szCs w:val="16"/>
        </w:rPr>
        <w:br/>
        <w:t xml:space="preserve">• Compiling, analyzing and reporting data results to the U.S. Office of Special Education Programs (OSEP), state administration, key stakeholders and the public on the effectiveness of the system in improving outcomes for young children with disabilities and their families </w:t>
      </w:r>
      <w:r w:rsidRPr="00ED172B">
        <w:rPr>
          <w:color w:val="000000" w:themeColor="text1"/>
          <w:szCs w:val="16"/>
        </w:rPr>
        <w:br/>
        <w:t>• Collecting, compiling and analyzing data through the IDEA Part C Office Annual Family Survey to evaluate the impact of EI services in improving outcomes for families of infants and toddlers participating in early intervention services; working with stakeholders to review and revise the State's Family Survey instrument and process to optimize input from families in system evaluation and improvement</w:t>
      </w:r>
      <w:r w:rsidRPr="00ED172B">
        <w:rPr>
          <w:color w:val="000000" w:themeColor="text1"/>
          <w:szCs w:val="16"/>
        </w:rPr>
        <w:br/>
        <w:t>• Compiling, analyzing and reporting data on specific outcomes for children served by the system by integrating data from the TRAC data system and the Child Outcomes analysis spreadsheet developed by the Early Childhood Outcomes (ECO) Center</w:t>
      </w:r>
      <w:r w:rsidRPr="00ED172B">
        <w:rPr>
          <w:color w:val="000000" w:themeColor="text1"/>
          <w:szCs w:val="16"/>
        </w:rPr>
        <w:br/>
        <w:t xml:space="preserve">• Partnering with Nevada’s Aging and Disabilities Services Division (ADSD) to budget for annual maintenance for the new data system NEIDS along with potential enhancements, such as a parent portal and a system point of entry feature. </w:t>
      </w:r>
    </w:p>
    <w:p w14:paraId="49C3FD7F" w14:textId="77777777" w:rsidR="00181DEB" w:rsidRPr="00ED172B" w:rsidRDefault="00181DEB">
      <w:pPr>
        <w:rPr>
          <w:b/>
          <w:color w:val="000000" w:themeColor="text1"/>
        </w:rPr>
      </w:pPr>
      <w:r w:rsidRPr="00ED172B">
        <w:rPr>
          <w:b/>
          <w:color w:val="000000" w:themeColor="text1"/>
        </w:rPr>
        <w:t>Technical Assistance System:</w:t>
      </w:r>
    </w:p>
    <w:p w14:paraId="7EE0C7FA" w14:textId="0AF910D4"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early intervention service (EIS) programs.</w:t>
      </w:r>
    </w:p>
    <w:p w14:paraId="1697FA23" w14:textId="56CF03A5" w:rsidR="003A4D77" w:rsidRPr="00ED172B" w:rsidRDefault="00860830" w:rsidP="00042EBF">
      <w:pPr>
        <w:rPr>
          <w:color w:val="000000" w:themeColor="text1"/>
          <w:szCs w:val="16"/>
        </w:rPr>
      </w:pPr>
      <w:r w:rsidRPr="00ED172B">
        <w:rPr>
          <w:color w:val="000000" w:themeColor="text1"/>
          <w:szCs w:val="16"/>
        </w:rPr>
        <w:t>Technical assistance (TA) in Nevada’s EI system is intentional in modeling after the Early Childhood Technical Assistance (ECTA) Center's definition that "effective technical assistance (TA) is a collaborative, coordinated effort to facilitate change in systems, build capacity, improve practices, and reach agreed-upon outcomes. Specifically, effective TA provides a pathway to improvement through activities and materials that promote new behaviors, practices, beliefs, and understandings of staff in the systems served."</w:t>
      </w:r>
      <w:r w:rsidRPr="00ED172B">
        <w:rPr>
          <w:color w:val="000000" w:themeColor="text1"/>
          <w:szCs w:val="16"/>
        </w:rPr>
        <w:br/>
      </w:r>
      <w:r w:rsidRPr="00ED172B">
        <w:rPr>
          <w:color w:val="000000" w:themeColor="text1"/>
          <w:szCs w:val="16"/>
        </w:rPr>
        <w:br/>
        <w:t>• During FFY 2022, Nevada's IDEA Part C Office received TA on a monthly basis or as needed from OSEP Leads and OSEP-funded national TA Centers such as Center for IDEA Fiscal Reporting (CIFR), ECTA, Early Childhood Personnel Center (ECPC) and the Center for IDEA Early Childhood Data Systems (DaSy) on various topics such as general supervision, corrective action/dispute resolution, grant application/management, data collection. Further, the IDEA Part C Office completed OSEP’s discovery phase and onsite Differentiated Monitoring Services and Supports (DMS). The IDEA Part C Office had received ongoing TA from OSEP, CIFR and ECTA in preparation for the onsite visit. OSEP’s DMS report is expected during March 2024.</w:t>
      </w:r>
      <w:r w:rsidRPr="00ED172B">
        <w:rPr>
          <w:color w:val="000000" w:themeColor="text1"/>
          <w:szCs w:val="16"/>
        </w:rPr>
        <w:br/>
      </w:r>
      <w:r w:rsidRPr="00ED172B">
        <w:rPr>
          <w:color w:val="000000" w:themeColor="text1"/>
          <w:szCs w:val="16"/>
        </w:rPr>
        <w:br/>
        <w:t xml:space="preserve">• The IDEA Part C Office provides regular TA to all state and community EI programs via virtual meetings as well as individual program calls and emails as applicable. The IDEA Part C Office hosts monthly TA calls with management from all EI service provider agencies throughout Nevada, however all EI staff are welcome. Topics and trainings are selected based on system needs or questions from programs, and clarification includes references to IDEA regulations and evidence-based practices/scientific evidence current in the field of early intervention, such as the DEC Recommended Practices (RP). Ongoing standing agenda items for monthly TA statewide meetings also include topics of complaint/concerns, family engagement, diversity, equity and inclusion (DEI) and self-care/mental health supports for EI personnel. </w:t>
      </w:r>
      <w:r w:rsidRPr="00ED172B">
        <w:rPr>
          <w:color w:val="000000" w:themeColor="text1"/>
          <w:szCs w:val="16"/>
        </w:rPr>
        <w:br/>
      </w:r>
      <w:r w:rsidRPr="00ED172B">
        <w:rPr>
          <w:color w:val="000000" w:themeColor="text1"/>
          <w:szCs w:val="16"/>
        </w:rPr>
        <w:br/>
        <w:t xml:space="preserve">• Technical assistance is provided to all EI programs as part of onboarding, and as requested or required as the need arises, such as if there are concerns from families or program personnel on EI services. The IDEA Part C Office will often reference DEC RPs to shed light on topics. The IDEA Part C Office has participated in the national/international DEC and Early Childhood Technical Assistance (ECTA) RP (aRPy) Ambassador Program, with the NV Part C Coordinator serving as an aRPy Ambassador from 2021-2023, and a Part C Liaison/Developmental Specialist IV serving as an aRPy Ambassador since 2023-present. The aRPy Ambassador program serves to illuminate participating countries, states and territories re: best practices to educate on DEC's RPs. </w:t>
      </w:r>
      <w:r w:rsidRPr="00ED172B">
        <w:rPr>
          <w:color w:val="000000" w:themeColor="text1"/>
          <w:szCs w:val="16"/>
        </w:rPr>
        <w:br/>
      </w:r>
      <w:r w:rsidRPr="00ED172B">
        <w:rPr>
          <w:color w:val="000000" w:themeColor="text1"/>
          <w:szCs w:val="16"/>
        </w:rPr>
        <w:br/>
        <w:t xml:space="preserve">• The IDEA Part C Office provides technical assistance according to OSEP’s guidance on providing services to individuals with disabilities. TA topics included Service Methods re: teleintervention and in person service methods as options which are available to families for their identified needs, IFSP Content FAQs including providing prior written notice to families if a program is anticipating any missed timelines or timeframes, according to OSEP’s FAQ document, and compensatory services during this post-pandemic era of critical personnel shortages which included technical assistance on </w:t>
      </w:r>
      <w:r w:rsidRPr="00ED172B">
        <w:rPr>
          <w:color w:val="000000" w:themeColor="text1"/>
          <w:szCs w:val="16"/>
        </w:rPr>
        <w:lastRenderedPageBreak/>
        <w:t>remedies such as compensatory visits as well as reimbursement for community services according to the IFSP if applicable.</w:t>
      </w:r>
      <w:r w:rsidRPr="00ED172B">
        <w:rPr>
          <w:color w:val="000000" w:themeColor="text1"/>
          <w:szCs w:val="16"/>
        </w:rPr>
        <w:br/>
      </w:r>
      <w:r w:rsidRPr="00ED172B">
        <w:rPr>
          <w:color w:val="000000" w:themeColor="text1"/>
          <w:szCs w:val="16"/>
        </w:rPr>
        <w:br/>
        <w:t>• All EI programs also have an assigned Part C Liaison from the Nevada Part C Team. Liaisons provide additional technical assistance as needed by programs in individualized program meetings, emails, phone calls and trainings.</w:t>
      </w:r>
      <w:r w:rsidRPr="00ED172B">
        <w:rPr>
          <w:color w:val="000000" w:themeColor="text1"/>
          <w:szCs w:val="16"/>
        </w:rPr>
        <w:br/>
      </w:r>
      <w:r w:rsidRPr="00ED172B">
        <w:rPr>
          <w:color w:val="000000" w:themeColor="text1"/>
          <w:szCs w:val="16"/>
        </w:rPr>
        <w:br/>
        <w:t>• Information and resources are emailed to program managers frequently as information arises generally on a monthly basis including professional development opportunities, webinars and training resources to support program improvement, and higher education opportunities including grant or scholarship information for institutions of higher education (IDE).</w:t>
      </w:r>
      <w:r w:rsidRPr="00ED172B">
        <w:rPr>
          <w:color w:val="000000" w:themeColor="text1"/>
          <w:szCs w:val="16"/>
        </w:rPr>
        <w:br/>
      </w:r>
      <w:r w:rsidRPr="00ED172B">
        <w:rPr>
          <w:color w:val="000000" w:themeColor="text1"/>
          <w:szCs w:val="16"/>
        </w:rPr>
        <w:br/>
        <w:t>• The IDEA Part C Office facilitates a lending library with resources for EI providers and families, with evidence-based content available in books, journals, CDs, and DVDs.</w:t>
      </w:r>
      <w:r w:rsidRPr="00ED172B">
        <w:rPr>
          <w:color w:val="000000" w:themeColor="text1"/>
          <w:szCs w:val="16"/>
        </w:rPr>
        <w:br/>
      </w:r>
      <w:r w:rsidRPr="00ED172B">
        <w:rPr>
          <w:color w:val="000000" w:themeColor="text1"/>
          <w:szCs w:val="16"/>
        </w:rPr>
        <w:br/>
        <w:t>• The Nevada Part C Coordinator participates in the Infant and Toddler Coordinator’s Association as a director at large board member, with opportunities to learn about OSEP’s initiatives and policies and to support Nevada and other states in understanding these initiatives and policies.</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6229555E"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are effectively providing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Nevada Early Intervention Professional Development Center:</w:t>
      </w:r>
      <w:r w:rsidRPr="00ED172B">
        <w:rPr>
          <w:color w:val="000000" w:themeColor="text1"/>
          <w:szCs w:val="16"/>
        </w:rPr>
        <w:br/>
      </w:r>
      <w:r w:rsidRPr="00ED172B">
        <w:rPr>
          <w:color w:val="000000" w:themeColor="text1"/>
          <w:szCs w:val="16"/>
        </w:rPr>
        <w:br/>
        <w:t>During 2022, the Nevada Early Intervention (EI) Services system performed strategic planning to address critical personnel shortages for the Developmental Specialist (DS) position as related to barriers associated with the COVID-19 pandemic (e.g., the Great Resignation, skyrocketing housing, food, fuel and tuition costs). While DS position coursework requirements may be met through institutions of higher education, an additional retention option to traditional academia was developed by the PD Center Work Group of stakeholders statewide to assist employees in meeting their professional requirements at no cost. The Nevada EI Professional Development Center was created and legislatively funded with Nevada's Governor's Finance Office (GFO) American Rescue Plan Act (ARPA) grant funds to facilitate this retention initiative of new professional development options, the first being a Developmental Specialist Series (DS Series). IDEA Part C received national technical assistance during August to September 2022 regarding best practices for developing curriculum for this Grow Your Own project.</w:t>
      </w:r>
      <w:r w:rsidRPr="00ED172B">
        <w:rPr>
          <w:color w:val="000000" w:themeColor="text1"/>
          <w:szCs w:val="16"/>
        </w:rPr>
        <w:br/>
      </w:r>
      <w:r w:rsidRPr="00ED172B">
        <w:rPr>
          <w:color w:val="000000" w:themeColor="text1"/>
          <w:szCs w:val="16"/>
        </w:rPr>
        <w:br/>
        <w:t>Cohort 1 of the DS Series began in April 2023 with 29 Learners and will conclude with 18 Learners set to graduate in April 2024. Cohort 2 began in August 2023 with 27 Learners, with graduation during September 2024. Cohort 3 will begin during March 2024 with approximately 20 Learners, with graduation during April 2025. The PD Center has benefited these 65 Learners in maintaining their positions at no cost to them, and ultimately is projected to positively impact their combined caseloads of over 1,000 children in terms of timely delivery and quality of services. The PD Center is looking forward to providing additional professional development options for EI system personnel, families and community stakeholders. The Part C office has presented to other states on the Grow Your Own initiative through the PD Center.</w:t>
      </w:r>
      <w:r w:rsidRPr="00ED172B">
        <w:rPr>
          <w:color w:val="000000" w:themeColor="text1"/>
          <w:szCs w:val="16"/>
        </w:rPr>
        <w:br/>
      </w:r>
      <w:r w:rsidRPr="00ED172B">
        <w:rPr>
          <w:color w:val="000000" w:themeColor="text1"/>
          <w:szCs w:val="16"/>
        </w:rPr>
        <w:br/>
        <w:t>Pyramid model (social emotional development/infant and toddler mental health supports):</w:t>
      </w:r>
      <w:r w:rsidRPr="00ED172B">
        <w:rPr>
          <w:color w:val="000000" w:themeColor="text1"/>
          <w:szCs w:val="16"/>
        </w:rPr>
        <w:br/>
      </w:r>
      <w:r w:rsidRPr="00ED172B">
        <w:rPr>
          <w:color w:val="000000" w:themeColor="text1"/>
          <w:szCs w:val="16"/>
        </w:rPr>
        <w:br/>
        <w:t xml:space="preserve">The IDEA Part C Office continued collaboration with state EI programs and a state leadership team of stakeholders for our pyramid project. Nevada was the first Part C state in the nation to receive technical assistance from National Center for Pyramid Model Innovations (NCPMI) for Part C pyramid efforts. Since the beginning of the Pyramid Model Project (November 2018) the State Leadership Team (SLT) has continued to be involved in developing leadership objectives, rating benchmarks of quality, action planning, and coaching support for Cohorts including using flexibility to meet the needs of programs experiencing critical staff shortages following the COVID-19 pandemic. </w:t>
      </w:r>
      <w:r w:rsidRPr="00ED172B">
        <w:rPr>
          <w:color w:val="000000" w:themeColor="text1"/>
          <w:szCs w:val="16"/>
        </w:rPr>
        <w:br/>
      </w:r>
      <w:r w:rsidRPr="00ED172B">
        <w:rPr>
          <w:color w:val="000000" w:themeColor="text1"/>
          <w:szCs w:val="16"/>
        </w:rPr>
        <w:br/>
        <w:t>Scale up of the pyramid model as originally planned has slowed due to the EI system's critical personnel shortage since 2022 to present, however key pyramid practices trainings/e-modules were developed by the Pyramid Model Consortium under contract with Nevada's IDEA Part C office. This contract to develop e-modules on pyramid practices specifically for the early intervention population was developed in August 2022, with the first e-modules available for EI personnel during January 2023. The funding for this professional development was provided through OSEP American Rescue Plan Act (ARPA) grant funds. The accessibility of the pyramid e-modules is available to all EI programs statewide and is required for new EI personnel to take within 1 year of hire. In utilizing the e-modules, the IDEA Part C office was able to equitably provide professional development to all programs simultaneously rather than waiting for critical personnel shortages to subside. SLT meetings continue regularly to promote planning on future pyramid trainings and potential scale up.</w:t>
      </w:r>
      <w:r w:rsidRPr="00ED172B">
        <w:rPr>
          <w:color w:val="000000" w:themeColor="text1"/>
          <w:szCs w:val="16"/>
        </w:rPr>
        <w:br/>
      </w:r>
      <w:r w:rsidRPr="00ED172B">
        <w:rPr>
          <w:color w:val="000000" w:themeColor="text1"/>
          <w:szCs w:val="16"/>
        </w:rPr>
        <w:br/>
        <w:t xml:space="preserve">Other </w:t>
      </w:r>
      <w:proofErr w:type="spellStart"/>
      <w:r w:rsidRPr="00ED172B">
        <w:rPr>
          <w:color w:val="000000" w:themeColor="text1"/>
          <w:szCs w:val="16"/>
        </w:rPr>
        <w:t>Professoinal</w:t>
      </w:r>
      <w:proofErr w:type="spellEnd"/>
      <w:r w:rsidRPr="00ED172B">
        <w:rPr>
          <w:color w:val="000000" w:themeColor="text1"/>
          <w:szCs w:val="16"/>
        </w:rPr>
        <w:t xml:space="preserve"> Development Activities:</w:t>
      </w:r>
      <w:r w:rsidRPr="00ED172B">
        <w:rPr>
          <w:color w:val="000000" w:themeColor="text1"/>
          <w:szCs w:val="16"/>
        </w:rPr>
        <w:br/>
      </w:r>
      <w:r w:rsidRPr="00ED172B">
        <w:rPr>
          <w:color w:val="000000" w:themeColor="text1"/>
          <w:szCs w:val="16"/>
        </w:rPr>
        <w:br/>
        <w:t>Other professional development activities include trainings provided by the IDEA Part C office or in collaboration with ADSD Quality Assurance, EI programs, and programs in the community or at local, state and national levels through webinars, ICC meetings, and conferences.</w:t>
      </w:r>
      <w:r w:rsidRPr="00ED172B">
        <w:rPr>
          <w:color w:val="000000" w:themeColor="text1"/>
          <w:szCs w:val="16"/>
        </w:rPr>
        <w:br/>
        <w:t>Key activities for collaboration include:</w:t>
      </w:r>
      <w:r w:rsidRPr="00ED172B">
        <w:rPr>
          <w:color w:val="000000" w:themeColor="text1"/>
          <w:szCs w:val="16"/>
        </w:rPr>
        <w:br/>
      </w:r>
      <w:r w:rsidRPr="00ED172B">
        <w:rPr>
          <w:color w:val="000000" w:themeColor="text1"/>
          <w:szCs w:val="16"/>
        </w:rPr>
        <w:br/>
        <w:t xml:space="preserve">• Ongoing collaboration with Nevada Part C and the following entities in addressing concerns among EI families, programs and the system as needed: Aging and Disability Services Division (ADSD), ADSD Quality Assurance, National Center for Pyramid Model Innovations, </w:t>
      </w:r>
      <w:r w:rsidRPr="00ED172B">
        <w:rPr>
          <w:color w:val="000000" w:themeColor="text1"/>
          <w:szCs w:val="16"/>
        </w:rPr>
        <w:br/>
        <w:t xml:space="preserve">• Two Part C staff are committee members for the Early Hearing Detection and Intervention (EHDI) program; participation involves attending meetings as advised by EHDI, and advising the committee on raising community awareness for EHDI. </w:t>
      </w:r>
      <w:r w:rsidRPr="00ED172B">
        <w:rPr>
          <w:color w:val="000000" w:themeColor="text1"/>
          <w:szCs w:val="16"/>
        </w:rPr>
        <w:br/>
        <w:t>• The Part C Coordinator serves as a governor-appointed board member on the Nevada Early Childhood Advisory Council (ECAC). The Part C Coordinator has assisted the ECAC in developing the ECAC strategic plan for systems improvement. The IDEA Part C Office continues to refer to ECAC standards for personnel, leadership and management.</w:t>
      </w:r>
      <w:r w:rsidRPr="00ED172B">
        <w:rPr>
          <w:color w:val="000000" w:themeColor="text1"/>
          <w:szCs w:val="16"/>
        </w:rPr>
        <w:br/>
        <w:t>• The Nevada Part C Office has assisted other states that are venturing into pyramid model social emotional supports, including support of the ADSD Quality Assurance presentation at the Division for Early Childhood conference during September 2022.</w:t>
      </w:r>
      <w:r w:rsidRPr="00ED172B">
        <w:rPr>
          <w:color w:val="000000" w:themeColor="text1"/>
          <w:szCs w:val="16"/>
        </w:rPr>
        <w:br/>
      </w:r>
      <w:r w:rsidRPr="00ED172B">
        <w:rPr>
          <w:color w:val="000000" w:themeColor="text1"/>
          <w:szCs w:val="16"/>
        </w:rPr>
        <w:br/>
        <w:t>Attendance at conferences is a professional development activity that promotes leadership growth, employee retention and improved practices for practitioners: Two (2) Part C staff attended National Training Institute (NTI) in April, and Part C sponsored two (2) ADSD staff to attend NTI as presenters.  The entire statewide vision team of six (6) vision specialists at the time in Nevada were sponsored by Part C to attend the AER conference in July 2022. During September 2022, Part C sponsored 26 staff to attend the DEC International Conference including Part C staff, personnel from state and community EI programs, and personnel from ADSD Quality Assurance; 1 ADSD Quality Assurance staff presented at this DEC conference along with other states and NCPMI advisors. Part C sent three (3) Part C staff to the CIFR Part C Fiscal Forum during May 2023, and two (2) Part C staff to the Part C Data Leadership Conference 2023 during June 2023.</w:t>
      </w:r>
    </w:p>
    <w:p w14:paraId="29B4BF78" w14:textId="168C5C46" w:rsidR="00D62BE4" w:rsidRPr="00D62BE4" w:rsidRDefault="00492B6F" w:rsidP="00D62BE4">
      <w:pPr>
        <w:rPr>
          <w:b/>
          <w:color w:val="000000" w:themeColor="text1"/>
        </w:rPr>
      </w:pPr>
      <w:r>
        <w:rPr>
          <w:b/>
          <w:color w:val="000000" w:themeColor="text1"/>
        </w:rPr>
        <w:t>Stakeholder Engagement</w:t>
      </w:r>
      <w:r w:rsidR="00D62BE4" w:rsidRPr="00D974E1">
        <w:rPr>
          <w:b/>
          <w:color w:val="000000" w:themeColor="text1"/>
        </w:rPr>
        <w:t xml:space="preserve">: </w:t>
      </w:r>
    </w:p>
    <w:p w14:paraId="35CAF926" w14:textId="5CC7F759" w:rsidR="00B717AA" w:rsidRDefault="00492B6F" w:rsidP="00D62BE4">
      <w:pPr>
        <w:rPr>
          <w:b/>
          <w:color w:val="000000" w:themeColor="text1"/>
        </w:rPr>
      </w:pPr>
      <w:r w:rsidRPr="003B2959">
        <w:rPr>
          <w:b/>
        </w:rPr>
        <w:lastRenderedPageBreak/>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Pr>
          <w:b/>
        </w:rPr>
        <w:t>.</w:t>
      </w:r>
      <w:r w:rsidRPr="00D62BE4" w:rsidDel="00492B6F">
        <w:rPr>
          <w:b/>
          <w:color w:val="000000" w:themeColor="text1"/>
        </w:rPr>
        <w:t xml:space="preserve"> </w:t>
      </w:r>
    </w:p>
    <w:p w14:paraId="025083D4" w14:textId="1FBE7633" w:rsidR="00D62BE4" w:rsidRPr="00F85A5B" w:rsidRDefault="00116D8B" w:rsidP="00D62BE4">
      <w:pPr>
        <w:rPr>
          <w:color w:val="000000" w:themeColor="text1"/>
          <w:szCs w:val="16"/>
        </w:rPr>
      </w:pPr>
      <w:r w:rsidRPr="00ED172B">
        <w:rPr>
          <w:color w:val="000000" w:themeColor="text1"/>
          <w:szCs w:val="16"/>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szCs w:val="16"/>
        </w:rPr>
        <w:br/>
      </w:r>
      <w:r w:rsidRPr="00ED172B">
        <w:rPr>
          <w:color w:val="000000" w:themeColor="text1"/>
          <w:szCs w:val="16"/>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szCs w:val="16"/>
        </w:rPr>
        <w:br/>
      </w:r>
      <w:r w:rsidRPr="00ED172B">
        <w:rPr>
          <w:color w:val="000000" w:themeColor="text1"/>
          <w:szCs w:val="16"/>
        </w:rPr>
        <w:br/>
        <w:t>Key stakeholder involvement activities included:</w:t>
      </w:r>
      <w:r w:rsidRPr="00ED172B">
        <w:rPr>
          <w:color w:val="000000" w:themeColor="text1"/>
          <w:szCs w:val="16"/>
        </w:rPr>
        <w:br/>
      </w:r>
      <w:r w:rsidRPr="00ED172B">
        <w:rPr>
          <w:color w:val="000000" w:themeColor="text1"/>
          <w:szCs w:val="16"/>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szCs w:val="16"/>
        </w:rPr>
        <w:br/>
      </w:r>
      <w:r w:rsidRPr="00ED172B">
        <w:rPr>
          <w:color w:val="000000" w:themeColor="text1"/>
          <w:szCs w:val="16"/>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szCs w:val="16"/>
        </w:rPr>
        <w:br/>
      </w:r>
      <w:r w:rsidRPr="00ED172B">
        <w:rPr>
          <w:color w:val="000000" w:themeColor="text1"/>
          <w:szCs w:val="16"/>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szCs w:val="16"/>
        </w:rPr>
        <w:br/>
      </w:r>
      <w:r w:rsidRPr="00ED172B">
        <w:rPr>
          <w:color w:val="000000" w:themeColor="text1"/>
          <w:szCs w:val="16"/>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szCs w:val="16"/>
        </w:rPr>
        <w:t>with regard to</w:t>
      </w:r>
      <w:proofErr w:type="gramEnd"/>
      <w:r w:rsidRPr="00ED172B">
        <w:rPr>
          <w:color w:val="000000" w:themeColor="text1"/>
          <w:szCs w:val="16"/>
        </w:rPr>
        <w:t xml:space="preserve"> progress in Social Emotional development, as this is the indicator for Nevada's State-identified measurable result (</w:t>
      </w:r>
      <w:proofErr w:type="spellStart"/>
      <w:r w:rsidRPr="00ED172B">
        <w:rPr>
          <w:color w:val="000000" w:themeColor="text1"/>
          <w:szCs w:val="16"/>
        </w:rPr>
        <w:t>SiMR</w:t>
      </w:r>
      <w:proofErr w:type="spellEnd"/>
      <w:r w:rsidRPr="00ED172B">
        <w:rPr>
          <w:color w:val="000000" w:themeColor="text1"/>
          <w:szCs w:val="16"/>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szCs w:val="16"/>
        </w:rPr>
        <w:br/>
      </w:r>
      <w:r w:rsidRPr="00ED172B">
        <w:rPr>
          <w:color w:val="000000" w:themeColor="text1"/>
          <w:szCs w:val="16"/>
        </w:rPr>
        <w:br/>
        <w:t xml:space="preserve">• On January 29th, 2024, the ICC voted unanimously to approve the current FFY 2022 SPP/APR submission due February 1st, </w:t>
      </w:r>
      <w:proofErr w:type="gramStart"/>
      <w:r w:rsidRPr="00ED172B">
        <w:rPr>
          <w:color w:val="000000" w:themeColor="text1"/>
          <w:szCs w:val="16"/>
        </w:rPr>
        <w:t>2024</w:t>
      </w:r>
      <w:proofErr w:type="gramEnd"/>
      <w:r w:rsidRPr="00ED172B">
        <w:rPr>
          <w:color w:val="000000" w:themeColor="text1"/>
          <w:szCs w:val="16"/>
        </w:rPr>
        <w:t xml:space="preserve"> to OSEP.</w:t>
      </w:r>
      <w:r w:rsidRPr="00ED172B">
        <w:rPr>
          <w:color w:val="000000" w:themeColor="text1"/>
          <w:szCs w:val="16"/>
        </w:rPr>
        <w:br/>
      </w:r>
      <w:r w:rsidRPr="00ED172B">
        <w:rPr>
          <w:color w:val="000000" w:themeColor="text1"/>
          <w:szCs w:val="16"/>
        </w:rPr>
        <w:br/>
        <w:t xml:space="preserve">The IDEA Part C Office is grateful for this past year's increased stakeholder engagement for SPP/APR reporting and overall advising for Nevada's Early Intervention Services system. </w:t>
      </w:r>
    </w:p>
    <w:p w14:paraId="250D9274" w14:textId="1C276BD3"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t>YES</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1</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 xml:space="preserve">Parent members of the ICC are parents of children who have received are receiving early interventions services. These parents were engaged in analyzing and updating ICC member bylaws and exploring strategies for improvement during the October 2023 ICC Member Retreat.  The ICC scheduled a follow up meeting during December 2023 to complete their updates to the member bylaws. In following through with updating the bylaws, the ICC aimed to consider quorum parameters </w:t>
      </w:r>
      <w:proofErr w:type="gramStart"/>
      <w:r w:rsidRPr="00ED172B">
        <w:rPr>
          <w:color w:val="000000" w:themeColor="text1"/>
          <w:szCs w:val="16"/>
        </w:rPr>
        <w:t>in order to</w:t>
      </w:r>
      <w:proofErr w:type="gramEnd"/>
      <w:r w:rsidRPr="00ED172B">
        <w:rPr>
          <w:color w:val="000000" w:themeColor="text1"/>
          <w:szCs w:val="16"/>
        </w:rPr>
        <w:t xml:space="preserve"> more effectively meet quorum for future meetings. </w:t>
      </w:r>
      <w:r w:rsidRPr="00ED172B">
        <w:rPr>
          <w:color w:val="000000" w:themeColor="text1"/>
          <w:szCs w:val="16"/>
        </w:rPr>
        <w:br/>
      </w:r>
      <w:r w:rsidRPr="00ED172B">
        <w:rPr>
          <w:color w:val="000000" w:themeColor="text1"/>
          <w:szCs w:val="16"/>
        </w:rPr>
        <w:br/>
        <w:t xml:space="preserve">Setting APR/SPP targets occurred most recently, as shared in the FFY 2021 APR/SPP, during the October 2021 Quarterly ICC </w:t>
      </w:r>
      <w:proofErr w:type="gramStart"/>
      <w:r w:rsidRPr="00ED172B">
        <w:rPr>
          <w:color w:val="000000" w:themeColor="text1"/>
          <w:szCs w:val="16"/>
        </w:rPr>
        <w:t>Meeting ,</w:t>
      </w:r>
      <w:proofErr w:type="gramEnd"/>
      <w:r w:rsidRPr="00ED172B">
        <w:rPr>
          <w:color w:val="000000" w:themeColor="text1"/>
          <w:szCs w:val="16"/>
        </w:rPr>
        <w:t xml:space="preserve"> the November 2021 Public Stakeholder meeting, the January 11, 2022 Quarterly ICC Meeting and January 27, 2022 ICC Review and Certification of the Annual Performance Report. Engagement included receiving information and providing information on setting targets with the use of the meaningful difference calculator, analyzing data for trends and patterns over the past five years, developing improvement strategies to promote rigor, and evaluating progress through review of qualitative (family survey) and quantitative data (program data). Meetings were governed by Open Meeting Law, and parents were a part of voting process for all Possible Action items, including the review and certification for the Annual Performance Report. </w:t>
      </w:r>
      <w:r w:rsidRPr="00ED172B">
        <w:rPr>
          <w:color w:val="000000" w:themeColor="text1"/>
          <w:szCs w:val="16"/>
        </w:rPr>
        <w:br/>
      </w:r>
      <w:r w:rsidRPr="00ED172B">
        <w:rPr>
          <w:color w:val="000000" w:themeColor="text1"/>
          <w:szCs w:val="16"/>
        </w:rPr>
        <w:br/>
        <w:t xml:space="preserve">Parents in the Early Intervention system are encouraged to join the ICC and any ICC Subcommittees, which include the Child Find Subcommittee, Family Advisory Subcommittee and Equity Subcommittee.  Due to lack of quorum at these Subcommittee meetings, the ICC sought to explore how updating the ICC bylaws could appropriately reset attendance parameters. </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Activities to increase the capacity of diverse groups of parents to support the development of implementation activities included:</w:t>
      </w:r>
      <w:r w:rsidRPr="00ED172B">
        <w:rPr>
          <w:color w:val="000000" w:themeColor="text1"/>
          <w:szCs w:val="16"/>
        </w:rPr>
        <w:br/>
      </w:r>
      <w:r w:rsidRPr="00ED172B">
        <w:rPr>
          <w:color w:val="000000" w:themeColor="text1"/>
          <w:szCs w:val="16"/>
        </w:rPr>
        <w:br/>
      </w:r>
      <w:r w:rsidRPr="00ED172B">
        <w:rPr>
          <w:color w:val="000000" w:themeColor="text1"/>
          <w:szCs w:val="16"/>
        </w:rPr>
        <w:lastRenderedPageBreak/>
        <w:t xml:space="preserve">• Ongoing collaboration with Nevada's Parent Center program, Nevada Parents Encouraging Parents (Nevada PEP), including organizing participation for parent forums. </w:t>
      </w:r>
      <w:r w:rsidRPr="00ED172B">
        <w:rPr>
          <w:color w:val="000000" w:themeColor="text1"/>
          <w:szCs w:val="16"/>
        </w:rPr>
        <w:br/>
      </w:r>
      <w:r w:rsidRPr="00ED172B">
        <w:rPr>
          <w:color w:val="000000" w:themeColor="text1"/>
          <w:szCs w:val="16"/>
        </w:rPr>
        <w:br/>
        <w:t>• Ongoing recruitment for ICC Subcommittee participation. Subcommittee members are tasked with developing goals, vision and strategies/activities to support diversity, equity and inclusion in Nevada's EI system. The IDEA Part C Office plans to report on the Equity Subcommittee's work in improving representativeness in the Family Survey results along with any brainstorming for improving meaningful engagement for all EI families in Nevada.</w:t>
      </w:r>
      <w:r w:rsidRPr="00ED172B">
        <w:rPr>
          <w:color w:val="000000" w:themeColor="text1"/>
          <w:szCs w:val="16"/>
        </w:rPr>
        <w:br/>
      </w:r>
      <w:r w:rsidRPr="00ED172B">
        <w:rPr>
          <w:color w:val="000000" w:themeColor="text1"/>
          <w:szCs w:val="16"/>
        </w:rPr>
        <w:br/>
        <w:t>• Ongoing information sharing re: ICC opportunities for membership, participation, observation or public comment by parents who contact the IDEA Part C Office with concerns or complaints,</w:t>
      </w:r>
      <w:r w:rsidRPr="00ED172B">
        <w:rPr>
          <w:color w:val="000000" w:themeColor="text1"/>
          <w:szCs w:val="16"/>
        </w:rPr>
        <w:br/>
      </w:r>
      <w:r w:rsidRPr="00ED172B">
        <w:rPr>
          <w:color w:val="000000" w:themeColor="text1"/>
          <w:szCs w:val="16"/>
        </w:rPr>
        <w:br/>
        <w:t>• Family engagement in accessing EI information in English, Spanish, Mandarin/Simplified Chinese. Early Intervention programs provide family resources in English and Spanish, with information to be relayed by email, in person and virtually from Developmental Specialist/Service Coordinators to families regarding resources on procedural safeguards, IFSPs, library journals, books and videos for EI families, community resources for specific disabilities/conditions, community activities, shared experiences from EI families statewide and support group information.</w:t>
      </w:r>
      <w:r w:rsidRPr="00ED172B">
        <w:rPr>
          <w:color w:val="000000" w:themeColor="text1"/>
          <w:szCs w:val="16"/>
        </w:rPr>
        <w:br/>
      </w:r>
      <w:r w:rsidRPr="00ED172B">
        <w:rPr>
          <w:color w:val="000000" w:themeColor="text1"/>
          <w:szCs w:val="16"/>
        </w:rPr>
        <w:br/>
        <w:t>• State Leadership Team (SLT) recruitment to parents through direct service practitioners to join the Pyramid Model Project and/or the SLT to promote social emotional development/early childhood mental health which is designed to improve overall outcomes for infants and toddlers with disabilities and their families.</w:t>
      </w:r>
      <w:r w:rsidRPr="00ED172B">
        <w:rPr>
          <w:color w:val="000000" w:themeColor="text1"/>
          <w:szCs w:val="16"/>
        </w:rPr>
        <w:br/>
      </w:r>
      <w:r w:rsidRPr="00ED172B">
        <w:rPr>
          <w:color w:val="000000" w:themeColor="text1"/>
          <w:szCs w:val="16"/>
        </w:rPr>
        <w:br/>
        <w:t xml:space="preserve">• The Nevada Early Intervention Professional Development Center (PD Center) includes families who may attend as guest speakers for professional development coursework that is provided for new Developmental Specialists (DSs). The DS Series Course 1.2 Partnering with Family in Early Intervention included parent guest speakers during the Cohort 2 October 2023 course. These guest speakers shared with personnel regarding their family's experiences in EI and provided positive takeaways for Learners to apply to their own engagement with families on their respective caseloads. </w:t>
      </w:r>
      <w:r w:rsidRPr="00ED172B">
        <w:rPr>
          <w:color w:val="000000" w:themeColor="text1"/>
          <w:szCs w:val="16"/>
        </w:rPr>
        <w:br/>
      </w:r>
      <w:r w:rsidRPr="00ED172B">
        <w:rPr>
          <w:color w:val="000000" w:themeColor="text1"/>
          <w:szCs w:val="16"/>
        </w:rPr>
        <w:br/>
        <w:t>• Child Find events in the community by local EI programs to engage with the community as well as provide referral resource information. Events include EI professionals setting up information tables with engaging promotional items and/or sharing EI brochures and information at local health/education fairs, daycare/</w:t>
      </w:r>
      <w:proofErr w:type="gramStart"/>
      <w:r w:rsidRPr="00ED172B">
        <w:rPr>
          <w:color w:val="000000" w:themeColor="text1"/>
          <w:szCs w:val="16"/>
        </w:rPr>
        <w:t>child care</w:t>
      </w:r>
      <w:proofErr w:type="gramEnd"/>
      <w:r w:rsidRPr="00ED172B">
        <w:rPr>
          <w:color w:val="000000" w:themeColor="text1"/>
          <w:szCs w:val="16"/>
        </w:rPr>
        <w:t>/preschools, health professional offices, conferences, parades and charity/fun walks.</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t>The mechanisms and timelines for soliciting public input for setting targets, analyzing data, developing strategies, and evaluating progress occurred as follows during this FFY 2022 reporting period:</w:t>
      </w:r>
      <w:r w:rsidRPr="00ED172B">
        <w:rPr>
          <w:color w:val="000000" w:themeColor="text1"/>
          <w:szCs w:val="16"/>
        </w:rPr>
        <w:br/>
      </w:r>
      <w:r w:rsidRPr="00ED172B">
        <w:rPr>
          <w:color w:val="000000" w:themeColor="text1"/>
          <w:szCs w:val="16"/>
        </w:rPr>
        <w:br/>
        <w:t xml:space="preserve"> January 2024: Discussed with ICC the finalized targets which were set for FFY 2020 to 2025, and the opportunity to review annually and modify these as needed. The ICC did not modify the targets for the FFY 2022 APR/SPP.</w:t>
      </w:r>
      <w:r w:rsidRPr="00ED172B">
        <w:rPr>
          <w:color w:val="000000" w:themeColor="text1"/>
          <w:szCs w:val="16"/>
        </w:rPr>
        <w:br/>
      </w:r>
      <w:r w:rsidRPr="00ED172B">
        <w:rPr>
          <w:color w:val="000000" w:themeColor="text1"/>
          <w:szCs w:val="16"/>
        </w:rPr>
        <w:br/>
        <w:t>Mechanisms for input have previously included: public meeting in person and virtual comments, email and public survey.</w:t>
      </w:r>
      <w:r w:rsidRPr="00ED172B">
        <w:rPr>
          <w:color w:val="000000" w:themeColor="text1"/>
          <w:szCs w:val="16"/>
        </w:rPr>
        <w:br/>
        <w:t>Mechanisms for developing improvement strategies include State Leadership Team collaboration and PD Work Group strategic planning.</w:t>
      </w:r>
      <w:r w:rsidRPr="00ED172B">
        <w:rPr>
          <w:color w:val="000000" w:themeColor="text1"/>
          <w:szCs w:val="16"/>
        </w:rPr>
        <w:br/>
        <w:t xml:space="preserve">Mechanisms for evaluating progress include public meeting, in person and virtual comments, public survey and stakeholder interviews through an EI system study initiated by ADSD during 2023, with stakeholder interviews conducted by the system study vendor Health Management Associates (HMA), with the draft system study report publicly shared during the January 29, 2024 quarterly ICC meeting). </w:t>
      </w:r>
      <w:r w:rsidRPr="00ED172B">
        <w:rPr>
          <w:color w:val="000000" w:themeColor="text1"/>
          <w:szCs w:val="16"/>
        </w:rPr>
        <w:br/>
      </w:r>
      <w:r w:rsidRPr="00ED172B">
        <w:rPr>
          <w:color w:val="000000" w:themeColor="text1"/>
          <w:szCs w:val="16"/>
        </w:rPr>
        <w:br/>
        <w:t>Data analysis, developing improvement strategies and evaluating progress occurs regularly during quarterly ICC meetings for local level yellow bar data and ADSD service data as available for referrals, timely services, and natural environment, with more in-depth analysis and review for annual performance report data occurring annually.</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E68F210" w:rsidR="00583FAD" w:rsidRDefault="00583FAD" w:rsidP="00583FAD">
      <w:pPr>
        <w:rPr>
          <w:b/>
          <w:color w:val="000000" w:themeColor="text1"/>
        </w:rPr>
      </w:pPr>
      <w:r w:rsidRPr="00F85A5B">
        <w:rPr>
          <w:b/>
          <w:color w:val="000000" w:themeColor="text1"/>
        </w:rPr>
        <w:t>The mechanisms and timelines for making the results of the setting</w:t>
      </w:r>
      <w:r w:rsidR="00492B6F">
        <w:rPr>
          <w:b/>
          <w:color w:val="000000" w:themeColor="text1"/>
        </w:rPr>
        <w:t xml:space="preserve"> targets</w:t>
      </w:r>
      <w:r w:rsidRPr="00F85A5B">
        <w:rPr>
          <w:b/>
          <w:color w:val="000000" w:themeColor="text1"/>
        </w:rPr>
        <w:t>, data analysis, development of the improvement strategies, and evaluation available to the public.</w:t>
      </w:r>
    </w:p>
    <w:p w14:paraId="11C27D9E" w14:textId="4B17759B" w:rsidR="00583FAD" w:rsidRDefault="00583FAD" w:rsidP="00583FAD">
      <w:pPr>
        <w:rPr>
          <w:color w:val="000000" w:themeColor="text1"/>
          <w:szCs w:val="16"/>
        </w:rPr>
      </w:pPr>
      <w:r w:rsidRPr="00ED172B">
        <w:rPr>
          <w:color w:val="000000" w:themeColor="text1"/>
          <w:szCs w:val="16"/>
        </w:rPr>
        <w:t>The mechanisms and timelines for soliciting public input for setting targets, analyzing data, developing strategies, and evaluating progress occurred as follows during this FFY 2022 reporting period:</w:t>
      </w:r>
      <w:r w:rsidRPr="00ED172B">
        <w:rPr>
          <w:color w:val="000000" w:themeColor="text1"/>
          <w:szCs w:val="16"/>
        </w:rPr>
        <w:br/>
      </w:r>
      <w:r w:rsidRPr="00ED172B">
        <w:rPr>
          <w:color w:val="000000" w:themeColor="text1"/>
          <w:szCs w:val="16"/>
        </w:rPr>
        <w:br/>
        <w:t xml:space="preserve"> January 2024: Discussed with ICC the finalized targets which were set for FFY 2020 to 2025, and the opportunity to review annually and modify these as needed. The ICC did not modify the targets for the FFY 2022 APR/SPP.</w:t>
      </w:r>
      <w:r w:rsidRPr="00ED172B">
        <w:rPr>
          <w:color w:val="000000" w:themeColor="text1"/>
          <w:szCs w:val="16"/>
        </w:rPr>
        <w:br/>
      </w:r>
      <w:r w:rsidRPr="00ED172B">
        <w:rPr>
          <w:color w:val="000000" w:themeColor="text1"/>
          <w:szCs w:val="16"/>
        </w:rPr>
        <w:br/>
        <w:t>Mechanisms for input have previously included: public meeting in person and virtual comments, email and public survey.</w:t>
      </w:r>
      <w:r w:rsidRPr="00ED172B">
        <w:rPr>
          <w:color w:val="000000" w:themeColor="text1"/>
          <w:szCs w:val="16"/>
        </w:rPr>
        <w:br/>
      </w:r>
      <w:r w:rsidRPr="00ED172B">
        <w:rPr>
          <w:color w:val="000000" w:themeColor="text1"/>
          <w:szCs w:val="16"/>
        </w:rPr>
        <w:br/>
        <w:t>Mechanisms for developing improvement strategies include State Leadership Team collaboration and PD Work Group strategic planning.</w:t>
      </w:r>
      <w:r w:rsidRPr="00ED172B">
        <w:rPr>
          <w:color w:val="000000" w:themeColor="text1"/>
          <w:szCs w:val="16"/>
        </w:rPr>
        <w:br/>
      </w:r>
      <w:r w:rsidRPr="00ED172B">
        <w:rPr>
          <w:color w:val="000000" w:themeColor="text1"/>
          <w:szCs w:val="16"/>
        </w:rPr>
        <w:br/>
        <w:t xml:space="preserve">Mechanisms for evaluating progress include public meeting, in person and virtual comments, public survey and stakeholder interviews through an EI system study initiated by ADSD during 2023, with stakeholder interviews conducted by the system study vendor Health Management Associates (HMA), with the draft system study report publicly shared during the January 29, 2024 quarterly ICC meeting). </w:t>
      </w:r>
      <w:r w:rsidRPr="00ED172B">
        <w:rPr>
          <w:color w:val="000000" w:themeColor="text1"/>
          <w:szCs w:val="16"/>
        </w:rPr>
        <w:br/>
      </w:r>
      <w:r w:rsidRPr="00ED172B">
        <w:rPr>
          <w:color w:val="000000" w:themeColor="text1"/>
          <w:szCs w:val="16"/>
        </w:rPr>
        <w:br/>
        <w:t>Data analysis, developing improvement strategies and evaluating progress occurs regularly during quarterly ICC meetings for local level yellow bar data and ADSD service data as available for referrals, timely services, and natural environment, with more in-depth analysis and review for annual performance report data occurring annually.</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7593885A"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2021 performance of each EIS Program located in the State on the targets in the SPP/APR as soon as practicable, but no later than 120 days following the State’s submission of its FFY 2021 APR, as required by 34 CFR §303.702(b)(1)(i)(A); and a description of where, on its website, a complete copy of the State’s SPP/APR, including any revision</w:t>
      </w:r>
      <w:r w:rsidR="00492B6F">
        <w:rPr>
          <w:b/>
          <w:color w:val="000000" w:themeColor="text1"/>
          <w:szCs w:val="16"/>
        </w:rPr>
        <w:t>s</w:t>
      </w:r>
      <w:r w:rsidRPr="00ED172B">
        <w:rPr>
          <w:b/>
          <w:color w:val="000000" w:themeColor="text1"/>
          <w:szCs w:val="16"/>
        </w:rPr>
        <w:t xml:space="preserve"> if the State has revised the targets that it submitted with its FFY 2021 APR in 2023, is available.</w:t>
      </w:r>
    </w:p>
    <w:p w14:paraId="788E8800" w14:textId="7E8AC8B9" w:rsidR="003A4D77" w:rsidRPr="00ED172B" w:rsidRDefault="00860830" w:rsidP="00DF09CC">
      <w:pPr>
        <w:rPr>
          <w:color w:val="000000" w:themeColor="text1"/>
          <w:szCs w:val="16"/>
        </w:rPr>
      </w:pPr>
      <w:r w:rsidRPr="00ED172B">
        <w:rPr>
          <w:color w:val="000000" w:themeColor="text1"/>
          <w:szCs w:val="16"/>
        </w:rPr>
        <w:t xml:space="preserve">Nevada's FFY 2021 SPP/APR is posted on the Nevada Department of Health and Human Services (DHHS) Director's Office, IDEA Part C Office website, on the Publications page, under the section State Annual Report to OSEP, at:  http://dhhs.nv.gov/Programs/IDEA/Publications/ </w:t>
      </w:r>
      <w:r w:rsidRPr="00ED172B">
        <w:rPr>
          <w:color w:val="000000" w:themeColor="text1"/>
          <w:szCs w:val="16"/>
        </w:rPr>
        <w:br/>
      </w:r>
      <w:r w:rsidRPr="00ED172B">
        <w:rPr>
          <w:color w:val="000000" w:themeColor="text1"/>
          <w:szCs w:val="16"/>
        </w:rPr>
        <w:br/>
        <w:t>Additionally, FFY 2021 Report Cards for each of the early intervention service provider programs in the State are posted on the same webpage as listed, under Regional Programs Report Cards.</w:t>
      </w:r>
    </w:p>
    <w:p w14:paraId="6A6F1771" w14:textId="3EDEB232" w:rsidR="003A4D77" w:rsidRPr="00A40EE1" w:rsidRDefault="00571E72" w:rsidP="00C15786">
      <w:pPr>
        <w:pStyle w:val="Heading2"/>
      </w:pPr>
      <w:r w:rsidRPr="00A40EE1">
        <w:lastRenderedPageBreak/>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None</w:t>
      </w:r>
    </w:p>
    <w:p w14:paraId="49F2B657" w14:textId="77777777" w:rsidR="005A43C0" w:rsidRPr="00ED172B" w:rsidRDefault="005A43C0" w:rsidP="003A4D77">
      <w:pPr>
        <w:rPr>
          <w:rFonts w:cs="Arial"/>
          <w:color w:val="000000" w:themeColor="text1"/>
          <w:szCs w:val="16"/>
        </w:rPr>
      </w:pPr>
    </w:p>
    <w:p w14:paraId="37898305" w14:textId="383BCBB8" w:rsidR="003A4D77" w:rsidRPr="00A40EE1" w:rsidRDefault="00571E72" w:rsidP="00C15786">
      <w:pPr>
        <w:pStyle w:val="Heading2"/>
      </w:pPr>
      <w:r w:rsidRPr="00A40EE1">
        <w:t>Intro - OSEP Response</w:t>
      </w:r>
    </w:p>
    <w:p w14:paraId="317418C1" w14:textId="65B78829"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027F39" w:rsidP="00027F39">
      <w:pPr>
        <w:rPr>
          <w:color w:val="000000" w:themeColor="text1"/>
        </w:rPr>
      </w:pPr>
      <w:r w:rsidRPr="00ED172B">
        <w:rPr>
          <w:color w:val="000000" w:themeColor="text1"/>
        </w:rPr>
        <w:t xml:space="preserve">The State's IDEA Part C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w:t>
      </w:r>
      <w:proofErr w:type="gramStart"/>
      <w:r w:rsidRPr="00ED172B">
        <w:rPr>
          <w:color w:val="000000" w:themeColor="text1"/>
        </w:rPr>
        <w:t>in order to</w:t>
      </w:r>
      <w:proofErr w:type="gramEnd"/>
      <w:r w:rsidRPr="00ED172B">
        <w:rPr>
          <w:color w:val="000000" w:themeColor="text1"/>
        </w:rPr>
        <w:t xml:space="preserve"> improve its performance. The State must report, with its FFY 2023 SPP/APR submission, due February 1, 2025, on: (1) the technical assistance sources from which the State received assistance; and (2) the actions the State took </w:t>
      </w:r>
      <w:proofErr w:type="gramStart"/>
      <w:r w:rsidRPr="00ED172B">
        <w:rPr>
          <w:color w:val="000000" w:themeColor="text1"/>
        </w:rPr>
        <w:t>as a result of</w:t>
      </w:r>
      <w:proofErr w:type="gramEnd"/>
      <w:r w:rsidRPr="00ED172B">
        <w:rPr>
          <w:color w:val="000000" w:themeColor="text1"/>
        </w:rPr>
        <w:t xml:space="preserve"> that technical assistance.</w:t>
      </w: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3B97F0BA"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 xml:space="preserve">Data to be taken from monitoring or State data system and must be based on actual, not an average, number of days. Include the State’s criteria for “timely” receipt of early intervention services (i.e., the </w:t>
      </w:r>
      <w:proofErr w:type="gramStart"/>
      <w:r w:rsidRPr="00ED172B">
        <w:rPr>
          <w:color w:val="000000" w:themeColor="text1"/>
          <w:szCs w:val="16"/>
        </w:rPr>
        <w:t>time period</w:t>
      </w:r>
      <w:proofErr w:type="gramEnd"/>
      <w:r w:rsidRPr="00ED172B">
        <w:rPr>
          <w:color w:val="000000" w:themeColor="text1"/>
          <w:szCs w:val="16"/>
        </w:rPr>
        <w:t xml:space="preserve">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D21F29" w:rsidRDefault="00A86E16" w:rsidP="0077063D">
      <w:pPr>
        <w:rPr>
          <w:i/>
          <w:iCs/>
          <w:color w:val="000000" w:themeColor="text1"/>
          <w:szCs w:val="16"/>
        </w:rPr>
      </w:pPr>
      <w:r w:rsidRPr="00D21F29">
        <w:rPr>
          <w:i/>
          <w:iCs/>
          <w:color w:val="000000" w:themeColor="text1"/>
          <w:szCs w:val="16"/>
        </w:rPr>
        <w:t xml:space="preserve">If data are from State monitoring, describe the method used to select early intervention service (EIS) programs for monitoring. If data are from a </w:t>
      </w:r>
      <w:proofErr w:type="gramStart"/>
      <w:r w:rsidRPr="00D21F29">
        <w:rPr>
          <w:i/>
          <w:iCs/>
          <w:color w:val="000000" w:themeColor="text1"/>
          <w:szCs w:val="16"/>
        </w:rPr>
        <w:t>State</w:t>
      </w:r>
      <w:proofErr w:type="gramEnd"/>
      <w:r w:rsidRPr="00D21F29">
        <w:rPr>
          <w:i/>
          <w:iCs/>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 xml:space="preserve">The State’s timeliness measure for this indicator must be either: (1) </w:t>
      </w:r>
      <w:proofErr w:type="gramStart"/>
      <w:r w:rsidRPr="00ED172B">
        <w:rPr>
          <w:color w:val="000000" w:themeColor="text1"/>
          <w:szCs w:val="16"/>
        </w:rPr>
        <w:t>a time period</w:t>
      </w:r>
      <w:proofErr w:type="gramEnd"/>
      <w:r w:rsidRPr="00ED172B">
        <w:rPr>
          <w:color w:val="000000" w:themeColor="text1"/>
          <w:szCs w:val="16"/>
        </w:rPr>
        <w:t xml:space="preserve"> that runs from when the parent consents to IFSP services; or (2) the IFSP initiation date (established by the IFSP Team, including the parent).</w:t>
      </w:r>
    </w:p>
    <w:p w14:paraId="4BD24914" w14:textId="7777777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64753B7F" w:rsidR="00A86E16" w:rsidRPr="00ED172B" w:rsidRDefault="00A86E16" w:rsidP="0077063D">
      <w:pPr>
        <w:rPr>
          <w:color w:val="000000" w:themeColor="text1"/>
          <w:szCs w:val="16"/>
        </w:rPr>
      </w:pPr>
      <w:r w:rsidRPr="00ED172B">
        <w:rPr>
          <w:color w:val="000000" w:themeColor="text1"/>
          <w:szCs w:val="16"/>
        </w:rPr>
        <w:t xml:space="preserve">Provide detailed information about the timely correction of </w:t>
      </w:r>
      <w:r w:rsidR="00333435" w:rsidRPr="00D21F29">
        <w:rPr>
          <w:color w:val="000000" w:themeColor="text1"/>
          <w:szCs w:val="16"/>
        </w:rPr>
        <w:t xml:space="preserve">child-specific and regulatory/systemic </w:t>
      </w:r>
      <w:r w:rsidRPr="00ED172B">
        <w:rPr>
          <w:color w:val="000000" w:themeColor="text1"/>
          <w:szCs w:val="16"/>
        </w:rPr>
        <w:t>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08103D9A"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66EA9111" w14:textId="77777777" w:rsidR="00193E59" w:rsidRPr="00ED172B" w:rsidRDefault="00193E59" w:rsidP="0077063D">
      <w:pPr>
        <w:rPr>
          <w:color w:val="000000" w:themeColor="text1"/>
          <w:szCs w:val="16"/>
        </w:rPr>
      </w:pPr>
    </w:p>
    <w:bookmarkEnd w:id="2"/>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61.90%</w:t>
            </w:r>
          </w:p>
        </w:tc>
      </w:tr>
    </w:tbl>
    <w:p w14:paraId="659F9D02" w14:textId="24567A3D" w:rsidR="000A2C40" w:rsidRDefault="000A2C40">
      <w:pPr>
        <w:rPr>
          <w:b/>
          <w:color w:val="000000" w:themeColor="text1"/>
        </w:rPr>
      </w:pPr>
    </w:p>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shd w:val="clear" w:color="auto" w:fill="auto"/>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2017</w:t>
            </w:r>
          </w:p>
        </w:tc>
        <w:tc>
          <w:tcPr>
            <w:tcW w:w="918" w:type="pct"/>
            <w:shd w:val="clear" w:color="auto" w:fill="auto"/>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2018</w:t>
            </w:r>
          </w:p>
        </w:tc>
        <w:tc>
          <w:tcPr>
            <w:tcW w:w="850" w:type="pct"/>
            <w:shd w:val="clear" w:color="auto" w:fill="auto"/>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30" w:type="pct"/>
            <w:shd w:val="clear" w:color="auto" w:fill="auto"/>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929" w:type="pct"/>
            <w:shd w:val="clear" w:color="auto" w:fill="auto"/>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2021</w:t>
            </w:r>
          </w:p>
        </w:tc>
      </w:tr>
      <w:tr w:rsidR="00ED172B" w:rsidRPr="00ED172B" w14:paraId="6CE8763A" w14:textId="0E161AC9" w:rsidTr="00986B99">
        <w:trPr>
          <w:trHeight w:val="357"/>
        </w:trPr>
        <w:tc>
          <w:tcPr>
            <w:tcW w:w="456" w:type="pct"/>
            <w:shd w:val="clear" w:color="auto" w:fill="auto"/>
          </w:tcPr>
          <w:p w14:paraId="673D2FDB" w14:textId="5EFC127B"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shd w:val="clear" w:color="auto" w:fill="auto"/>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shd w:val="clear" w:color="auto" w:fill="auto"/>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shd w:val="clear" w:color="auto" w:fill="auto"/>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shd w:val="clear" w:color="auto" w:fill="auto"/>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shd w:val="clear" w:color="auto" w:fill="auto"/>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shd w:val="clear" w:color="auto" w:fill="auto"/>
          </w:tcPr>
          <w:p w14:paraId="2D0C7D71"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shd w:val="clear" w:color="auto" w:fill="auto"/>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98.31%</w:t>
            </w:r>
          </w:p>
        </w:tc>
        <w:tc>
          <w:tcPr>
            <w:tcW w:w="918" w:type="pct"/>
            <w:tcBorders>
              <w:bottom w:val="single" w:sz="4" w:space="0" w:color="auto"/>
            </w:tcBorders>
            <w:shd w:val="clear" w:color="auto" w:fill="auto"/>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96.00%</w:t>
            </w:r>
          </w:p>
        </w:tc>
        <w:tc>
          <w:tcPr>
            <w:tcW w:w="850" w:type="pct"/>
            <w:tcBorders>
              <w:bottom w:val="single" w:sz="4" w:space="0" w:color="auto"/>
            </w:tcBorders>
            <w:shd w:val="clear" w:color="auto" w:fill="auto"/>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97.54%</w:t>
            </w:r>
          </w:p>
        </w:tc>
        <w:tc>
          <w:tcPr>
            <w:tcW w:w="930" w:type="pct"/>
            <w:tcBorders>
              <w:bottom w:val="single" w:sz="4" w:space="0" w:color="auto"/>
            </w:tcBorders>
            <w:shd w:val="clear" w:color="auto" w:fill="auto"/>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97.52%</w:t>
            </w:r>
          </w:p>
        </w:tc>
        <w:tc>
          <w:tcPr>
            <w:tcW w:w="929" w:type="pct"/>
            <w:tcBorders>
              <w:bottom w:val="single" w:sz="4" w:space="0" w:color="auto"/>
            </w:tcBorders>
            <w:shd w:val="clear" w:color="auto" w:fill="auto"/>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92.03%</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3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79"/>
        <w:gridCol w:w="1687"/>
        <w:gridCol w:w="1685"/>
        <w:gridCol w:w="1685"/>
        <w:gridCol w:w="1685"/>
      </w:tblGrid>
      <w:tr w:rsidR="00E8119B" w:rsidRPr="00ED172B" w14:paraId="246DB490" w14:textId="7B55901D" w:rsidTr="00E415ED">
        <w:trPr>
          <w:trHeight w:val="350"/>
        </w:trPr>
        <w:tc>
          <w:tcPr>
            <w:tcW w:w="458" w:type="pct"/>
            <w:tcBorders>
              <w:bottom w:val="single" w:sz="4" w:space="0" w:color="auto"/>
            </w:tcBorders>
            <w:shd w:val="clear" w:color="auto" w:fill="auto"/>
          </w:tcPr>
          <w:p w14:paraId="7E3256F3" w14:textId="77777777" w:rsidR="00E8119B" w:rsidRPr="00ED172B" w:rsidRDefault="00E8119B" w:rsidP="00E01C49">
            <w:pPr>
              <w:jc w:val="center"/>
              <w:rPr>
                <w:b/>
                <w:color w:val="000000" w:themeColor="text1"/>
                <w:szCs w:val="16"/>
              </w:rPr>
            </w:pPr>
            <w:r w:rsidRPr="00ED172B">
              <w:rPr>
                <w:b/>
                <w:color w:val="000000" w:themeColor="text1"/>
                <w:szCs w:val="16"/>
              </w:rPr>
              <w:t>FFY</w:t>
            </w:r>
          </w:p>
        </w:tc>
        <w:tc>
          <w:tcPr>
            <w:tcW w:w="1137" w:type="pct"/>
            <w:shd w:val="clear" w:color="auto" w:fill="auto"/>
            <w:vAlign w:val="center"/>
          </w:tcPr>
          <w:p w14:paraId="6C3EA6E7" w14:textId="0CD96192" w:rsidR="00E8119B" w:rsidRPr="00ED172B" w:rsidRDefault="00E8119B" w:rsidP="003A4D77">
            <w:pPr>
              <w:jc w:val="center"/>
              <w:rPr>
                <w:b/>
                <w:color w:val="000000" w:themeColor="text1"/>
                <w:szCs w:val="16"/>
              </w:rPr>
            </w:pPr>
            <w:r w:rsidRPr="00ED172B">
              <w:rPr>
                <w:rFonts w:cs="Arial"/>
                <w:b/>
                <w:color w:val="000000" w:themeColor="text1"/>
                <w:szCs w:val="16"/>
              </w:rPr>
              <w:t>2022</w:t>
            </w:r>
          </w:p>
        </w:tc>
        <w:tc>
          <w:tcPr>
            <w:tcW w:w="1135" w:type="pct"/>
          </w:tcPr>
          <w:p w14:paraId="44A76023" w14:textId="1CD7C23A" w:rsidR="00E8119B" w:rsidRPr="00ED172B" w:rsidRDefault="00E8119B" w:rsidP="003A4D77">
            <w:pPr>
              <w:jc w:val="center"/>
              <w:rPr>
                <w:rFonts w:cs="Arial"/>
                <w:b/>
                <w:color w:val="000000" w:themeColor="text1"/>
                <w:szCs w:val="16"/>
              </w:rPr>
            </w:pPr>
            <w:r>
              <w:rPr>
                <w:rFonts w:cs="Arial"/>
                <w:b/>
                <w:color w:val="000000" w:themeColor="text1"/>
                <w:szCs w:val="16"/>
              </w:rPr>
              <w:t>2023</w:t>
            </w:r>
          </w:p>
        </w:tc>
        <w:tc>
          <w:tcPr>
            <w:tcW w:w="1135" w:type="pct"/>
          </w:tcPr>
          <w:p w14:paraId="40AA5EA9" w14:textId="37071A4C" w:rsidR="00E8119B" w:rsidRPr="00ED172B" w:rsidRDefault="00E8119B" w:rsidP="003A4D77">
            <w:pPr>
              <w:jc w:val="center"/>
              <w:rPr>
                <w:rFonts w:cs="Arial"/>
                <w:b/>
                <w:color w:val="000000" w:themeColor="text1"/>
                <w:szCs w:val="16"/>
              </w:rPr>
            </w:pPr>
            <w:r>
              <w:rPr>
                <w:rFonts w:cs="Arial"/>
                <w:b/>
                <w:color w:val="000000" w:themeColor="text1"/>
                <w:szCs w:val="16"/>
              </w:rPr>
              <w:t>2024</w:t>
            </w:r>
          </w:p>
        </w:tc>
        <w:tc>
          <w:tcPr>
            <w:tcW w:w="1135" w:type="pct"/>
          </w:tcPr>
          <w:p w14:paraId="489AC9B0" w14:textId="3222C7C4" w:rsidR="00E8119B" w:rsidRPr="00ED172B" w:rsidRDefault="00E8119B" w:rsidP="003A4D77">
            <w:pPr>
              <w:jc w:val="center"/>
              <w:rPr>
                <w:rFonts w:cs="Arial"/>
                <w:b/>
                <w:color w:val="000000" w:themeColor="text1"/>
                <w:szCs w:val="16"/>
              </w:rPr>
            </w:pPr>
            <w:r>
              <w:rPr>
                <w:rFonts w:cs="Arial"/>
                <w:b/>
                <w:color w:val="000000" w:themeColor="text1"/>
                <w:szCs w:val="16"/>
              </w:rPr>
              <w:t>2025</w:t>
            </w:r>
          </w:p>
        </w:tc>
      </w:tr>
      <w:tr w:rsidR="00E8119B" w:rsidRPr="00ED172B" w14:paraId="31760632" w14:textId="0D9FE637" w:rsidTr="00E415ED">
        <w:trPr>
          <w:trHeight w:val="357"/>
        </w:trPr>
        <w:tc>
          <w:tcPr>
            <w:tcW w:w="458" w:type="pct"/>
            <w:shd w:val="clear" w:color="auto" w:fill="auto"/>
          </w:tcPr>
          <w:p w14:paraId="1FB4BD66" w14:textId="77777777" w:rsidR="00E8119B" w:rsidRPr="00ED172B" w:rsidRDefault="00E8119B" w:rsidP="00D21F29">
            <w:pPr>
              <w:jc w:val="center"/>
              <w:rPr>
                <w:color w:val="000000" w:themeColor="text1"/>
                <w:szCs w:val="16"/>
              </w:rPr>
            </w:pPr>
            <w:r w:rsidRPr="00ED172B">
              <w:rPr>
                <w:color w:val="000000" w:themeColor="text1"/>
                <w:szCs w:val="16"/>
              </w:rPr>
              <w:t>Target</w:t>
            </w:r>
          </w:p>
        </w:tc>
        <w:tc>
          <w:tcPr>
            <w:tcW w:w="1137" w:type="pct"/>
            <w:shd w:val="clear" w:color="auto" w:fill="auto"/>
          </w:tcPr>
          <w:p w14:paraId="73D2B7A9" w14:textId="1EA3E525" w:rsidR="00E8119B" w:rsidRPr="00ED172B" w:rsidRDefault="00E8119B" w:rsidP="00715B7C">
            <w:pPr>
              <w:jc w:val="center"/>
              <w:rPr>
                <w:color w:val="000000" w:themeColor="text1"/>
                <w:szCs w:val="16"/>
              </w:rPr>
            </w:pPr>
            <w:r w:rsidRPr="00ED172B">
              <w:rPr>
                <w:color w:val="000000" w:themeColor="text1"/>
                <w:szCs w:val="16"/>
              </w:rPr>
              <w:t>100%</w:t>
            </w:r>
          </w:p>
        </w:tc>
        <w:tc>
          <w:tcPr>
            <w:tcW w:w="1135" w:type="pct"/>
          </w:tcPr>
          <w:p w14:paraId="04EEAAC8" w14:textId="11881C4E" w:rsidR="00E8119B" w:rsidRPr="00ED172B" w:rsidRDefault="00E8119B" w:rsidP="00715B7C">
            <w:pPr>
              <w:jc w:val="center"/>
              <w:rPr>
                <w:color w:val="000000" w:themeColor="text1"/>
                <w:szCs w:val="16"/>
              </w:rPr>
            </w:pPr>
            <w:r>
              <w:rPr>
                <w:color w:val="000000" w:themeColor="text1"/>
                <w:szCs w:val="16"/>
              </w:rPr>
              <w:t>100%</w:t>
            </w:r>
          </w:p>
        </w:tc>
        <w:tc>
          <w:tcPr>
            <w:tcW w:w="1135" w:type="pct"/>
          </w:tcPr>
          <w:p w14:paraId="041BBD6F" w14:textId="37DE789D" w:rsidR="00E8119B" w:rsidRPr="00ED172B" w:rsidRDefault="00E8119B" w:rsidP="00715B7C">
            <w:pPr>
              <w:jc w:val="center"/>
              <w:rPr>
                <w:color w:val="000000" w:themeColor="text1"/>
                <w:szCs w:val="16"/>
              </w:rPr>
            </w:pPr>
            <w:r>
              <w:rPr>
                <w:color w:val="000000" w:themeColor="text1"/>
                <w:szCs w:val="16"/>
              </w:rPr>
              <w:t>100%</w:t>
            </w:r>
          </w:p>
        </w:tc>
        <w:tc>
          <w:tcPr>
            <w:tcW w:w="1135" w:type="pct"/>
          </w:tcPr>
          <w:p w14:paraId="57F0B811" w14:textId="00234F7C" w:rsidR="00E8119B" w:rsidRPr="00ED172B" w:rsidRDefault="00E8119B"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3CBCC90D" w:rsidR="00441FB4" w:rsidRPr="00ED172B" w:rsidRDefault="00F22D09">
      <w:pPr>
        <w:rPr>
          <w:b/>
          <w:color w:val="000000" w:themeColor="text1"/>
        </w:rPr>
      </w:pPr>
      <w:r>
        <w:rPr>
          <w:b/>
          <w:color w:val="000000" w:themeColor="text1"/>
        </w:rPr>
        <w:t>FFY 2022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0F119A4D" w14:textId="77B8E4E9" w:rsidTr="00A40EE1">
        <w:trPr>
          <w:tblHeader/>
        </w:trPr>
        <w:tc>
          <w:tcPr>
            <w:tcW w:w="793" w:type="pct"/>
            <w:shd w:val="clear" w:color="auto" w:fill="auto"/>
            <w:vAlign w:val="bottom"/>
          </w:tcPr>
          <w:p w14:paraId="7E547840"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14:paraId="2096A85C" w14:textId="06F6FF07" w:rsidR="006A05A9" w:rsidRPr="00ED172B" w:rsidRDefault="00CD74B5" w:rsidP="006A05A9">
            <w:pPr>
              <w:jc w:val="center"/>
              <w:rPr>
                <w:b/>
                <w:color w:val="000000" w:themeColor="text1"/>
                <w:szCs w:val="16"/>
              </w:rPr>
            </w:pPr>
            <w:r>
              <w:rPr>
                <w:rFonts w:cs="Arial"/>
                <w:b/>
                <w:color w:val="000000" w:themeColor="text1"/>
                <w:szCs w:val="16"/>
              </w:rPr>
              <w:t>FFY 2021 Data</w:t>
            </w:r>
          </w:p>
        </w:tc>
        <w:tc>
          <w:tcPr>
            <w:tcW w:w="886" w:type="pct"/>
            <w:shd w:val="clear" w:color="auto" w:fill="auto"/>
            <w:vAlign w:val="bottom"/>
          </w:tcPr>
          <w:p w14:paraId="64E16C07" w14:textId="4CA257EE" w:rsidR="006A05A9" w:rsidRPr="00ED172B" w:rsidRDefault="00F22D09" w:rsidP="006A05A9">
            <w:pPr>
              <w:jc w:val="center"/>
              <w:rPr>
                <w:b/>
                <w:color w:val="000000" w:themeColor="text1"/>
                <w:szCs w:val="16"/>
              </w:rPr>
            </w:pPr>
            <w:r>
              <w:rPr>
                <w:rFonts w:cs="Arial"/>
                <w:b/>
                <w:color w:val="000000" w:themeColor="text1"/>
                <w:szCs w:val="16"/>
              </w:rPr>
              <w:t>FFY 2022 Target</w:t>
            </w:r>
          </w:p>
        </w:tc>
        <w:tc>
          <w:tcPr>
            <w:tcW w:w="534" w:type="pct"/>
            <w:shd w:val="clear" w:color="auto" w:fill="auto"/>
            <w:vAlign w:val="bottom"/>
          </w:tcPr>
          <w:p w14:paraId="3A16633D" w14:textId="0B141BA2" w:rsidR="006A05A9" w:rsidRPr="00ED172B" w:rsidRDefault="00F22D09" w:rsidP="006A05A9">
            <w:pPr>
              <w:jc w:val="center"/>
              <w:rPr>
                <w:b/>
                <w:color w:val="000000" w:themeColor="text1"/>
                <w:szCs w:val="16"/>
              </w:rPr>
            </w:pPr>
            <w:r>
              <w:rPr>
                <w:rFonts w:cs="Arial"/>
                <w:b/>
                <w:color w:val="000000" w:themeColor="text1"/>
                <w:szCs w:val="16"/>
              </w:rPr>
              <w:t>FFY 2022 Data</w:t>
            </w:r>
          </w:p>
        </w:tc>
        <w:tc>
          <w:tcPr>
            <w:tcW w:w="676" w:type="pct"/>
            <w:shd w:val="clear" w:color="auto" w:fill="auto"/>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shd w:val="clear" w:color="auto" w:fill="auto"/>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85</w:t>
            </w:r>
          </w:p>
        </w:tc>
        <w:tc>
          <w:tcPr>
            <w:tcW w:w="865" w:type="pct"/>
            <w:shd w:val="clear" w:color="auto" w:fill="auto"/>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110</w:t>
            </w:r>
          </w:p>
        </w:tc>
        <w:tc>
          <w:tcPr>
            <w:tcW w:w="592" w:type="pct"/>
            <w:shd w:val="clear" w:color="auto" w:fill="auto"/>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92.03%</w:t>
            </w:r>
          </w:p>
        </w:tc>
        <w:tc>
          <w:tcPr>
            <w:tcW w:w="886" w:type="pct"/>
            <w:shd w:val="clear" w:color="auto" w:fill="auto"/>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shd w:val="clear" w:color="auto" w:fill="auto"/>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86.36%</w:t>
            </w:r>
          </w:p>
        </w:tc>
        <w:tc>
          <w:tcPr>
            <w:tcW w:w="676" w:type="pct"/>
            <w:shd w:val="clear" w:color="auto" w:fill="auto"/>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shd w:val="clear" w:color="auto" w:fill="auto"/>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Slippage</w:t>
            </w:r>
          </w:p>
        </w:tc>
      </w:tr>
    </w:tbl>
    <w:p w14:paraId="3822D5F5" w14:textId="6B4691B4" w:rsidR="006E322D" w:rsidRPr="00ED172B" w:rsidRDefault="006E322D" w:rsidP="006E322D">
      <w:pPr>
        <w:rPr>
          <w:rFonts w:cs="Arial"/>
          <w:b/>
          <w:i/>
          <w:color w:val="000000" w:themeColor="text1"/>
          <w:szCs w:val="16"/>
        </w:rPr>
      </w:pPr>
      <w:r w:rsidRPr="00ED172B">
        <w:rPr>
          <w:rFonts w:cs="Arial"/>
          <w:b/>
          <w:color w:val="000000" w:themeColor="text1"/>
          <w:szCs w:val="16"/>
        </w:rPr>
        <w:t xml:space="preserve">Provide reasons for slippage, if applicable </w:t>
      </w:r>
    </w:p>
    <w:p w14:paraId="2B76F930" w14:textId="53CBBD15" w:rsidR="006E322D" w:rsidRDefault="005E414F" w:rsidP="005E414F">
      <w:pPr>
        <w:rPr>
          <w:color w:val="000000" w:themeColor="text1"/>
        </w:rPr>
      </w:pPr>
      <w:r w:rsidRPr="00ED172B">
        <w:rPr>
          <w:color w:val="000000" w:themeColor="text1"/>
        </w:rPr>
        <w:t xml:space="preserve">Reasons for slippage include scheduling conflicts, increased caseloads and critical personnel shortages occurring following the COVID-19 pandemic and instances of these have continued. During the reporting period, enrollment in the EI system experienced surges in case numbers (e.g., Dec 1st count FFY 2021: 3,181 children compared to Dec 1st count FFY 2022: 3,273 children). These child count data appear to correlate to increases in state population size as well, which outpaced the availability of personnel to provide EI services to the growing population. </w:t>
      </w:r>
      <w:r w:rsidRPr="00ED172B">
        <w:rPr>
          <w:color w:val="000000" w:themeColor="text1"/>
        </w:rPr>
        <w:br/>
      </w:r>
      <w:r w:rsidRPr="00ED172B">
        <w:rPr>
          <w:color w:val="000000" w:themeColor="text1"/>
        </w:rPr>
        <w:br/>
        <w:t xml:space="preserve">Nevada's EI system was greatly impacted by the loss of two (2) EI programs who terminated their service agreements within this fiscal reporting year. One (1) program in the </w:t>
      </w:r>
      <w:proofErr w:type="gramStart"/>
      <w:r w:rsidRPr="00ED172B">
        <w:rPr>
          <w:color w:val="000000" w:themeColor="text1"/>
        </w:rPr>
        <w:t>north western</w:t>
      </w:r>
      <w:proofErr w:type="gramEnd"/>
      <w:r w:rsidRPr="00ED172B">
        <w:rPr>
          <w:color w:val="000000" w:themeColor="text1"/>
        </w:rPr>
        <w:t xml:space="preserve"> (urban) region terminated their service agreement in November 2022 and the second program in the southern (urban) region terminated their service agreement in May 2023. These closures affected the system statewide. In fall of 2022, when the first program terminated their service agreement, one (1) program of four (4) opted out of receiving child records transferred due to already existing heavy caseloads. Of the 131 children with active IFSPs, 30 families chose to exit the NEIS system, leaving 101 active records to be transferred into three (3) programs. The single regional state program absorbed 61.4% of those records. All active records were reviewed by ADSD Quality Assurance for any applicable compensatory services and contacted families for their preference of program or if they wanted to continue services. Records were also reviewed by receiving programs to ensure continuity of services.</w:t>
      </w:r>
      <w:r w:rsidRPr="00ED172B">
        <w:rPr>
          <w:color w:val="000000" w:themeColor="text1"/>
        </w:rPr>
        <w:br/>
      </w:r>
      <w:r w:rsidRPr="00ED172B">
        <w:rPr>
          <w:color w:val="000000" w:themeColor="text1"/>
        </w:rPr>
        <w:br/>
        <w:t xml:space="preserve">The second program closure in early May 2023, only six months after the first, impacted the southern region of the state. Although one new program had joined this region of the NEIS system in February 2023, they did not receive any of the transferred child records as they were capped for new referrals during their onboarding timeframe. One program in the south opted out of receiving transferred records during the second closure as they were dealing with staff turn-over, heavy caseloads, and upcoming scheduled IDEA Part C Comprehensive Monitoring. Three programs in the south absorbed the caseload of 146 children, 56% of which went to the single regional state program. </w:t>
      </w:r>
      <w:r w:rsidRPr="00ED172B">
        <w:rPr>
          <w:color w:val="000000" w:themeColor="text1"/>
        </w:rPr>
        <w:br/>
      </w:r>
      <w:r w:rsidRPr="00ED172B">
        <w:rPr>
          <w:color w:val="000000" w:themeColor="text1"/>
        </w:rPr>
        <w:br/>
        <w:t xml:space="preserve">As a result of the two (2) programs' termination, programs statewide, </w:t>
      </w:r>
      <w:proofErr w:type="gramStart"/>
      <w:r w:rsidRPr="00ED172B">
        <w:rPr>
          <w:color w:val="000000" w:themeColor="text1"/>
        </w:rPr>
        <w:t>with the exception of</w:t>
      </w:r>
      <w:proofErr w:type="gramEnd"/>
      <w:r w:rsidRPr="00ED172B">
        <w:rPr>
          <w:color w:val="000000" w:themeColor="text1"/>
        </w:rPr>
        <w:t xml:space="preserve"> the two state rural frontier programs, were tasked with absorbing all of the active children and families that transferred due to program closures. Referrals continued throughout the fiscal year, impacting programs statewide.</w:t>
      </w:r>
    </w:p>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10</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Examples of family circumstances resulting in untimely initiation of services included missed or rescheduled appointments due to changes in the family’s schedule or child/family illness.</w:t>
      </w:r>
      <w:r w:rsidRPr="00ED172B">
        <w:rPr>
          <w:color w:val="000000" w:themeColor="text1"/>
          <w:szCs w:val="16"/>
        </w:rPr>
        <w:br/>
      </w:r>
      <w:r w:rsidRPr="00ED172B">
        <w:rPr>
          <w:color w:val="000000" w:themeColor="text1"/>
          <w:szCs w:val="16"/>
        </w:rPr>
        <w:br/>
        <w:t xml:space="preserve">After accounting for services delayed due to family circumstances, it was found that 95 of the 110 children reviewed (86.36%) had all new services initiated in a timely manner. For the 15 children who did not receive timely services, the reasons for delay include scheduling conflicts and critical personnel shortages. </w:t>
      </w:r>
      <w:r w:rsidRPr="00ED172B">
        <w:rPr>
          <w:color w:val="000000" w:themeColor="text1"/>
          <w:szCs w:val="16"/>
        </w:rPr>
        <w:br/>
      </w:r>
      <w:r w:rsidRPr="00ED172B">
        <w:rPr>
          <w:color w:val="000000" w:themeColor="text1"/>
          <w:szCs w:val="16"/>
        </w:rPr>
        <w:br/>
        <w:t>The Nevada EI system is making proactive efforts toward closing the gap in retention disparities by developing a no cost "Grow Your Own" evidence-based program through the Nevada Early Intervention Professional Development Center (PD Center) to assist personnel in meeting professional requirements. There are currently 18 learners who are in a Developmental Specialist role who are in the first Cohort and set to graduate in April 2024 with their IDEA Part C Office Alternative Certification. This meets the requirements of the Nevada Department of Education, Early Childhood Developmentally Delayed (ECDD) endorsement.</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 xml:space="preserve">Include your </w:t>
      </w:r>
      <w:proofErr w:type="gramStart"/>
      <w:r w:rsidRPr="00ED172B">
        <w:rPr>
          <w:rFonts w:cs="Arial"/>
          <w:b/>
          <w:color w:val="000000" w:themeColor="text1"/>
          <w:szCs w:val="16"/>
        </w:rPr>
        <w:t>State’s</w:t>
      </w:r>
      <w:proofErr w:type="gramEnd"/>
      <w:r w:rsidRPr="00ED172B">
        <w:rPr>
          <w:rFonts w:cs="Arial"/>
          <w:b/>
          <w:color w:val="000000" w:themeColor="text1"/>
          <w:szCs w:val="16"/>
        </w:rPr>
        <w:t xml:space="preserve">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Nevada's Definition of Timely Services:</w:t>
      </w:r>
      <w:r w:rsidRPr="00ED172B">
        <w:rPr>
          <w:color w:val="000000" w:themeColor="text1"/>
          <w:szCs w:val="16"/>
        </w:rPr>
        <w:br/>
      </w:r>
      <w:r w:rsidRPr="00ED172B">
        <w:rPr>
          <w:color w:val="000000" w:themeColor="text1"/>
          <w:szCs w:val="16"/>
        </w:rPr>
        <w:br/>
        <w:t xml:space="preserve">Early intervention services identified on the initial and subsequent Individualized Family Service Plans (IFSP) of an eligible child, including IFSP reviews, will be provided to the child and family as soon as possible following the family's consent to implement the IFSP. Determination of whether services are provided in a timely manner is based on: </w:t>
      </w:r>
      <w:r w:rsidRPr="00ED172B">
        <w:rPr>
          <w:color w:val="000000" w:themeColor="text1"/>
          <w:szCs w:val="16"/>
        </w:rPr>
        <w:br/>
      </w:r>
      <w:r w:rsidRPr="00ED172B">
        <w:rPr>
          <w:color w:val="000000" w:themeColor="text1"/>
          <w:szCs w:val="16"/>
        </w:rPr>
        <w:br/>
        <w:t xml:space="preserve">1. Initiation of new services within 30 days from the date the parents provided consent for the IFSP </w:t>
      </w:r>
      <w:proofErr w:type="gramStart"/>
      <w:r w:rsidRPr="00ED172B">
        <w:rPr>
          <w:color w:val="000000" w:themeColor="text1"/>
          <w:szCs w:val="16"/>
        </w:rPr>
        <w:t>service;</w:t>
      </w:r>
      <w:proofErr w:type="gramEnd"/>
      <w:r w:rsidRPr="00ED172B">
        <w:rPr>
          <w:color w:val="000000" w:themeColor="text1"/>
          <w:szCs w:val="16"/>
        </w:rPr>
        <w:t xml:space="preserve"> or </w:t>
      </w:r>
      <w:r w:rsidRPr="00ED172B">
        <w:rPr>
          <w:color w:val="000000" w:themeColor="text1"/>
          <w:szCs w:val="16"/>
        </w:rPr>
        <w:br/>
        <w:t>2. The projected IFSP initiation date as determined by the IFSP team including the family and indicated on the IFSP. This may include services such as periodic follow-up or services needed on an infrequent basis (e.g., on a quarterly basis).</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6" w:name="_Hlk23243004"/>
      <w:r w:rsidRPr="00ED172B">
        <w:rPr>
          <w:rFonts w:cs="Arial"/>
          <w:color w:val="000000" w:themeColor="text1"/>
          <w:szCs w:val="16"/>
        </w:rPr>
        <w:t>State monitoring</w:t>
      </w:r>
    </w:p>
    <w:bookmarkEnd w:id="6"/>
    <w:p w14:paraId="5833E38F" w14:textId="2DC628E4" w:rsidR="005A4FE1" w:rsidRPr="00ED172B" w:rsidRDefault="007F3393" w:rsidP="00B83404">
      <w:pPr>
        <w:rPr>
          <w:b/>
          <w:color w:val="000000" w:themeColor="text1"/>
        </w:rPr>
      </w:pPr>
      <w:r w:rsidRPr="00ED172B">
        <w:rPr>
          <w:b/>
          <w:color w:val="000000" w:themeColor="text1"/>
        </w:rPr>
        <w:t>Describe the method used to select EIS programs for monitoring.</w:t>
      </w:r>
    </w:p>
    <w:p w14:paraId="74894608" w14:textId="764B3ADF" w:rsidR="007F3393" w:rsidRDefault="00860830" w:rsidP="00B83404">
      <w:pPr>
        <w:rPr>
          <w:color w:val="000000" w:themeColor="text1"/>
        </w:rPr>
      </w:pPr>
      <w:r w:rsidRPr="00ED172B">
        <w:rPr>
          <w:color w:val="000000" w:themeColor="text1"/>
        </w:rPr>
        <w:t xml:space="preserve">Nevada's Early Intervention (EI) services system is comprised of eleven (11) EI programs statewide which must undergo comprehensive monitoring by the IDEA Part C Office. The general supervision process for comprehensive monitoring, which has been utilized and reported by the State since 2015, is to complete a review of half of the EI programs in each federal reporting period and the remaining EI programs in alternating years (biennially). In FFY 2022, the Part C Office completed comprehensive virtual site monitoring for a cohort of five (5) EIS programs relative to this indicator. The remaining six (6) EI programs were previously monitored in FFY 2021 and will </w:t>
      </w:r>
      <w:proofErr w:type="gramStart"/>
      <w:r w:rsidRPr="00ED172B">
        <w:rPr>
          <w:color w:val="000000" w:themeColor="text1"/>
        </w:rPr>
        <w:t>continue on</w:t>
      </w:r>
      <w:proofErr w:type="gramEnd"/>
      <w:r w:rsidRPr="00ED172B">
        <w:rPr>
          <w:color w:val="000000" w:themeColor="text1"/>
        </w:rPr>
        <w:t xml:space="preserve"> the biennial cycle. The number of children enrolled in each program was taken into consideration to ensure an equitable breakdown of the number of children served statewide, so the data is representative of all children across the state for each year of the cycle.</w:t>
      </w:r>
      <w:r w:rsidRPr="00ED172B">
        <w:rPr>
          <w:color w:val="000000" w:themeColor="text1"/>
        </w:rPr>
        <w:br/>
      </w:r>
      <w:r w:rsidRPr="00ED172B">
        <w:rPr>
          <w:color w:val="000000" w:themeColor="text1"/>
        </w:rPr>
        <w:lastRenderedPageBreak/>
        <w:br/>
        <w:t xml:space="preserve">Data for this indicator are gathered through child record reviews and are required to include all IFSPs (initial, periodic and annual reviews). The timeframe covered for the FFY 2022 monitoring was all activity between July 1, </w:t>
      </w:r>
      <w:proofErr w:type="gramStart"/>
      <w:r w:rsidRPr="00ED172B">
        <w:rPr>
          <w:color w:val="000000" w:themeColor="text1"/>
        </w:rPr>
        <w:t>2022</w:t>
      </w:r>
      <w:proofErr w:type="gramEnd"/>
      <w:r w:rsidRPr="00ED172B">
        <w:rPr>
          <w:color w:val="000000" w:themeColor="text1"/>
        </w:rPr>
        <w:t xml:space="preserve"> and March 31, 2023.</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860830" w:rsidP="00361F62">
      <w:pPr>
        <w:rPr>
          <w:color w:val="000000" w:themeColor="text1"/>
        </w:rPr>
      </w:pPr>
      <w:r w:rsidRPr="00ED172B">
        <w:rPr>
          <w:color w:val="000000" w:themeColor="text1"/>
        </w:rPr>
        <w:t>A minimum number of records was required to be reviewed by the IDEA Part C Office, which included: 10% of enrollment for large programs (300 or more active children) and 20% for smaller programs (fewer than 300 active children). The number of records reviewed is sufficient to ensure the data were representative of the statewide enrollment and accurately reflected the programs performance relative to all children served by the program.</w:t>
      </w:r>
      <w:r w:rsidRPr="00ED172B">
        <w:rPr>
          <w:color w:val="000000" w:themeColor="text1"/>
        </w:rPr>
        <w:br/>
      </w:r>
      <w:r w:rsidRPr="00ED172B">
        <w:rPr>
          <w:color w:val="000000" w:themeColor="text1"/>
        </w:rPr>
        <w:br/>
        <w:t>Comprehensive Monitoring</w:t>
      </w:r>
      <w:r w:rsidRPr="00ED172B">
        <w:rPr>
          <w:color w:val="000000" w:themeColor="text1"/>
        </w:rPr>
        <w:br/>
      </w:r>
      <w:r w:rsidRPr="00ED172B">
        <w:rPr>
          <w:color w:val="000000" w:themeColor="text1"/>
        </w:rPr>
        <w:br/>
        <w:t xml:space="preserve">A total of five (5) EIS programs were monitored for timely initiation of IFSP services in FFY 2022 and include a review of 153 records. Of the records reviewed, 110 had new services added at a new review period date during the July 1, </w:t>
      </w:r>
      <w:proofErr w:type="gramStart"/>
      <w:r w:rsidRPr="00ED172B">
        <w:rPr>
          <w:color w:val="000000" w:themeColor="text1"/>
        </w:rPr>
        <w:t>2022</w:t>
      </w:r>
      <w:proofErr w:type="gramEnd"/>
      <w:r w:rsidRPr="00ED172B">
        <w:rPr>
          <w:color w:val="000000" w:themeColor="text1"/>
        </w:rPr>
        <w:t xml:space="preserve"> through March 31, 2023 reporting period. A total of 85 records had all new services initiated within the required timeline. A total of 10 children had at least one service initiated after the required timeline due to family circumstances. Family circumstances resulting in untimely initiation of services included missed or rescheduled appointments due to changes in the family’s schedule or child/family illness. After accounting for services delayed due to family circumstances, it was found that 95 of the 110 children reviewed (86.36%) had all new services initiated in a timely manner. For the 15 children who did not receive timely services, the reasons for delay include scheduling conflicts, increased caseloads and personnel shortages. The Nevada EI system is making proactive efforts toward closing the gap in retention disparities by developing the PD Center to assist personnel in meeting professional requirements. </w:t>
      </w:r>
      <w:r w:rsidRPr="00ED172B">
        <w:rPr>
          <w:color w:val="000000" w:themeColor="text1"/>
        </w:rPr>
        <w:br/>
      </w:r>
      <w:r w:rsidRPr="00ED172B">
        <w:rPr>
          <w:color w:val="000000" w:themeColor="text1"/>
        </w:rPr>
        <w:br/>
        <w:t>This is an increase of children who did not receive Timely Initiation of Services reported last period in FFY 2021.</w:t>
      </w:r>
      <w:r w:rsidRPr="00ED172B">
        <w:rPr>
          <w:color w:val="000000" w:themeColor="text1"/>
        </w:rPr>
        <w:br/>
      </w:r>
      <w:r w:rsidRPr="00ED172B">
        <w:rPr>
          <w:color w:val="000000" w:themeColor="text1"/>
        </w:rPr>
        <w:br/>
        <w:t>Of the five (5) programs monitored, two (2) EIS Programs were issued a finding of noncompliance relative to Indicator 1 based on the FFY 2022 Annual Comprehensive Monitoring. Findings were as follows:</w:t>
      </w:r>
      <w:r w:rsidRPr="00ED172B">
        <w:rPr>
          <w:color w:val="000000" w:themeColor="text1"/>
        </w:rPr>
        <w:br/>
      </w:r>
      <w:r w:rsidRPr="00ED172B">
        <w:rPr>
          <w:color w:val="000000" w:themeColor="text1"/>
        </w:rPr>
        <w:br/>
        <w:t>Program 1: 4 of 9 child records (44%) were compliant.</w:t>
      </w:r>
      <w:r w:rsidRPr="00ED172B">
        <w:rPr>
          <w:color w:val="000000" w:themeColor="text1"/>
        </w:rPr>
        <w:br/>
        <w:t>Program 2: 21 of 31 child records (68%) were compliant.</w:t>
      </w:r>
      <w:r w:rsidRPr="00ED172B">
        <w:rPr>
          <w:color w:val="000000" w:themeColor="text1"/>
        </w:rPr>
        <w:br/>
      </w:r>
      <w:r w:rsidRPr="00ED172B">
        <w:rPr>
          <w:color w:val="000000" w:themeColor="text1"/>
        </w:rPr>
        <w:br/>
        <w:t>Therefore, timely initiation of IFSP services for 95 of 110 children (86.36%) were compliant. There were two (2) programs with a level of performance that was not considered substantially compliant. As a result, a Corrective Action Plan (CAP) was required for the programs with program performance of 94% or below. The programs were notified they must correct the noncompliance as soon as possible but not later than one (1) year from the date the finding was issued (June 30, 2024). The program's correction for this indicator will be reported to OSEP in the FFY 2023 APR.</w:t>
      </w:r>
    </w:p>
    <w:p w14:paraId="53FAF326" w14:textId="1D74C4FC" w:rsidR="002F1A9A" w:rsidRPr="00ED172B" w:rsidRDefault="002F1A9A"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shd w:val="clear" w:color="auto" w:fill="auto"/>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shd w:val="clear" w:color="auto" w:fill="auto"/>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5</w:t>
            </w:r>
          </w:p>
        </w:tc>
        <w:tc>
          <w:tcPr>
            <w:tcW w:w="1286" w:type="pct"/>
            <w:shd w:val="clear" w:color="auto" w:fill="auto"/>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4</w:t>
            </w:r>
          </w:p>
        </w:tc>
        <w:tc>
          <w:tcPr>
            <w:tcW w:w="1229" w:type="pct"/>
            <w:shd w:val="clear" w:color="auto" w:fill="auto"/>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1</w:t>
            </w:r>
          </w:p>
        </w:tc>
      </w:tr>
    </w:tbl>
    <w:p w14:paraId="5569C69F" w14:textId="23B5B4B1" w:rsidR="002F1A9A" w:rsidRPr="00ED172B" w:rsidRDefault="00CD74B5" w:rsidP="00B83404">
      <w:pPr>
        <w:rPr>
          <w:color w:val="000000" w:themeColor="text1"/>
        </w:rPr>
      </w:pPr>
      <w:r>
        <w:rPr>
          <w:b/>
          <w:color w:val="000000" w:themeColor="text1"/>
        </w:rPr>
        <w:t>FFY 2021 Findings of Noncompliance Verified as Corrected</w:t>
      </w:r>
    </w:p>
    <w:p w14:paraId="55F5996D" w14:textId="2D0FCDCC"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4A0BD85E" w14:textId="6583A277" w:rsidR="002F1A9A" w:rsidRPr="00ED172B" w:rsidRDefault="00860830">
      <w:pPr>
        <w:rPr>
          <w:color w:val="000000" w:themeColor="text1"/>
        </w:rPr>
      </w:pPr>
      <w:r w:rsidRPr="00ED172B">
        <w:rPr>
          <w:color w:val="000000" w:themeColor="text1"/>
        </w:rPr>
        <w:t xml:space="preserve">As a result of NV IDEA Part C Office Comprehensive Monitoring, it was identified that five (5) programs did not meet the 100% target for this indicator in FFY 2021. All five (5) programs were notified and issued findings of noncompliance. These programs were required to analyze root causes to address program issues through corrective action plans. Since the programs who were issued a finding of noncompliance in FFY 2021 were not on the cycle for comprehensive monitoring in FFY 2022, the IDEA Part C Office conducted verification audits for the five (5) programs. A selection of records was audited for each of the five (5) programs. The data reflected that four (4) of the five (5) programs were performing at 100% and implementing services timely to meet the regulatory requirements. As a result, the IDEA Part C Office verified timely correction of noncompliance for these four (4) programs and issued letters of correction. The remaining program terminated their service agreement in November 2022, prior to record verification and therefore correction cannot be verified. </w:t>
      </w:r>
    </w:p>
    <w:p w14:paraId="43786BF5" w14:textId="5256C900" w:rsidR="002F1A9A" w:rsidRPr="00ED172B" w:rsidRDefault="002F1A9A">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7DD27FB9" w14:textId="5AC7708B" w:rsidR="002F1A9A" w:rsidRDefault="00860830">
      <w:pPr>
        <w:rPr>
          <w:color w:val="000000" w:themeColor="text1"/>
        </w:rPr>
      </w:pPr>
      <w:r w:rsidRPr="00ED172B">
        <w:rPr>
          <w:color w:val="000000" w:themeColor="text1"/>
        </w:rPr>
        <w:t xml:space="preserve">The IDEA Part C Office verified individual cases of noncompliance through desk audits and ongoing program reporting that services were initiated for each individual child, although late, unless the child was no longer in the jurisdiction of the EIS provider program/Early Intervention system and no later than one (1) year from the date of notification of noncompliance. This is verified and documented through the utilization of a standard individual child correction form that is a part of the state's monitoring procedures. </w:t>
      </w:r>
      <w:r w:rsidRPr="00ED172B">
        <w:rPr>
          <w:color w:val="000000" w:themeColor="text1"/>
        </w:rPr>
        <w:br/>
      </w:r>
      <w:r w:rsidRPr="00ED172B">
        <w:rPr>
          <w:color w:val="000000" w:themeColor="text1"/>
        </w:rPr>
        <w:br/>
        <w:t>When appropriate (depending on the length of the delay), a remedy for the delay was also offered to the family to compensate for the delay in initiation of services. For the four (4) programs that corrected noncompliance: five (5) child records were reviewed for one program, one (1) child record was reviewed for each of the other three (3) programs to verify full correction of individual child records where noncompliance was identified from FFY 2021. The programs also underwent training in the requirements for Timely Initiation of Services to ensure continued compliance is sustained. Each individual case of non-compliance was verified as corrected for these four (4) programs using the individual child record correction log.</w:t>
      </w:r>
      <w:r w:rsidRPr="00ED172B">
        <w:rPr>
          <w:color w:val="000000" w:themeColor="text1"/>
        </w:rPr>
        <w:br/>
      </w:r>
      <w:r w:rsidRPr="00ED172B">
        <w:rPr>
          <w:color w:val="000000" w:themeColor="text1"/>
        </w:rPr>
        <w:br/>
        <w:t>The individual child received services, although late. The child was owed five (5) compensatory visits. This child exited from the program on their third birthday and is no longer in jurisdiction of the EI system. The program’s service agreement was terminated, and the program closed before the one year for correction window ended on June 30, 2023. Nevada IDEA Part C Office is unable to verify full correction due to the child exiting from the program in April of 2022 and the program closing November 1, 2022.</w:t>
      </w:r>
    </w:p>
    <w:p w14:paraId="7918866F" w14:textId="0CE1A62C" w:rsidR="002F1A9A" w:rsidRPr="00ED172B" w:rsidRDefault="00CD74B5" w:rsidP="00B83404">
      <w:pPr>
        <w:rPr>
          <w:color w:val="000000" w:themeColor="text1"/>
        </w:rPr>
      </w:pPr>
      <w:r>
        <w:rPr>
          <w:b/>
          <w:color w:val="000000" w:themeColor="text1"/>
        </w:rPr>
        <w:t>FFY 2021 Findings of Noncompliance Not Yet Verified as Corrected</w:t>
      </w:r>
    </w:p>
    <w:p w14:paraId="3CEA558C" w14:textId="77777777" w:rsidR="002F1A9A" w:rsidRPr="00ED172B" w:rsidRDefault="002F1A9A">
      <w:pPr>
        <w:rPr>
          <w:b/>
          <w:color w:val="000000" w:themeColor="text1"/>
        </w:rPr>
      </w:pPr>
      <w:r w:rsidRPr="00ED172B">
        <w:rPr>
          <w:b/>
          <w:color w:val="000000" w:themeColor="text1"/>
        </w:rPr>
        <w:t>Actions taken if noncompliance not corrected</w:t>
      </w:r>
    </w:p>
    <w:p w14:paraId="04E0B434" w14:textId="1AE3C4D5" w:rsidR="002F1A9A" w:rsidRDefault="00860830" w:rsidP="002F1A9A">
      <w:pPr>
        <w:rPr>
          <w:rFonts w:cs="Arial"/>
          <w:color w:val="000000" w:themeColor="text1"/>
          <w:szCs w:val="16"/>
        </w:rPr>
      </w:pPr>
      <w:r w:rsidRPr="00ED172B">
        <w:rPr>
          <w:rFonts w:cs="Arial"/>
          <w:color w:val="000000" w:themeColor="text1"/>
          <w:szCs w:val="16"/>
        </w:rPr>
        <w:t xml:space="preserve">The remaining program with a finding of non-compliance in this indicator terminated their service agreement in November 2022, prior to record verification and therefore correction cannot be verified. </w:t>
      </w:r>
    </w:p>
    <w:p w14:paraId="0275179C" w14:textId="47B09E7B" w:rsidR="002F1A9A" w:rsidRPr="00ED172B" w:rsidRDefault="002F1A9A"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shd w:val="clear" w:color="auto" w:fill="auto"/>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lastRenderedPageBreak/>
              <w:t>Year Findings of Noncompliance Were Identified</w:t>
            </w:r>
          </w:p>
        </w:tc>
        <w:tc>
          <w:tcPr>
            <w:tcW w:w="1399" w:type="pct"/>
            <w:shd w:val="clear" w:color="auto" w:fill="auto"/>
            <w:vAlign w:val="bottom"/>
          </w:tcPr>
          <w:p w14:paraId="5832D775" w14:textId="5DBCACDF"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94" w:type="pct"/>
            <w:shd w:val="clear" w:color="auto" w:fill="auto"/>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shd w:val="clear" w:color="auto" w:fill="auto"/>
          </w:tcPr>
          <w:p w14:paraId="7E294C4A" w14:textId="793E00D3" w:rsidR="002F1A9A" w:rsidRPr="00ED172B" w:rsidRDefault="002F1A9A" w:rsidP="00186420">
            <w:pPr>
              <w:jc w:val="center"/>
              <w:rPr>
                <w:rFonts w:cs="Arial"/>
                <w:color w:val="000000" w:themeColor="text1"/>
                <w:szCs w:val="16"/>
              </w:rPr>
            </w:pPr>
          </w:p>
        </w:tc>
        <w:tc>
          <w:tcPr>
            <w:tcW w:w="1399" w:type="pct"/>
            <w:shd w:val="clear" w:color="auto" w:fill="auto"/>
          </w:tcPr>
          <w:p w14:paraId="1160A201" w14:textId="0E2C6FD9" w:rsidR="002F1A9A" w:rsidRPr="00ED172B" w:rsidRDefault="002F1A9A" w:rsidP="009A3621">
            <w:pPr>
              <w:jc w:val="center"/>
              <w:rPr>
                <w:rFonts w:cs="Arial"/>
                <w:noProof/>
                <w:color w:val="000000" w:themeColor="text1"/>
                <w:szCs w:val="16"/>
              </w:rPr>
            </w:pPr>
          </w:p>
        </w:tc>
        <w:tc>
          <w:tcPr>
            <w:tcW w:w="1394" w:type="pct"/>
            <w:shd w:val="clear" w:color="auto" w:fill="auto"/>
          </w:tcPr>
          <w:p w14:paraId="4333C23A" w14:textId="71B77B57" w:rsidR="002F1A9A" w:rsidRPr="00ED172B" w:rsidRDefault="002F1A9A" w:rsidP="009A3621">
            <w:pPr>
              <w:jc w:val="center"/>
              <w:rPr>
                <w:rFonts w:cs="Arial"/>
                <w:noProof/>
                <w:color w:val="000000" w:themeColor="text1"/>
                <w:szCs w:val="16"/>
              </w:rPr>
            </w:pPr>
          </w:p>
        </w:tc>
        <w:tc>
          <w:tcPr>
            <w:tcW w:w="1307" w:type="pct"/>
            <w:shd w:val="clear" w:color="auto" w:fill="auto"/>
          </w:tcPr>
          <w:p w14:paraId="33AEF7F3" w14:textId="54D2CF26" w:rsidR="002F1A9A" w:rsidRPr="00ED172B" w:rsidRDefault="002F1A9A" w:rsidP="00433DB7">
            <w:pPr>
              <w:jc w:val="center"/>
              <w:rPr>
                <w:rFonts w:cs="Arial"/>
                <w:noProof/>
                <w:color w:val="000000" w:themeColor="text1"/>
                <w:szCs w:val="16"/>
              </w:rPr>
            </w:pPr>
          </w:p>
        </w:tc>
      </w:tr>
      <w:tr w:rsidR="00ED172B" w:rsidRPr="00ED172B" w14:paraId="77EEF846" w14:textId="77777777" w:rsidTr="00986B99">
        <w:tc>
          <w:tcPr>
            <w:tcW w:w="899" w:type="pct"/>
            <w:shd w:val="clear" w:color="auto" w:fill="auto"/>
          </w:tcPr>
          <w:p w14:paraId="5220DDBB" w14:textId="617F1338" w:rsidR="002F1A9A" w:rsidRPr="00ED172B" w:rsidRDefault="002F1A9A" w:rsidP="00186420">
            <w:pPr>
              <w:jc w:val="center"/>
              <w:rPr>
                <w:rFonts w:cs="Arial"/>
                <w:color w:val="000000" w:themeColor="text1"/>
                <w:szCs w:val="16"/>
              </w:rPr>
            </w:pPr>
          </w:p>
        </w:tc>
        <w:tc>
          <w:tcPr>
            <w:tcW w:w="1399" w:type="pct"/>
            <w:shd w:val="clear" w:color="auto" w:fill="auto"/>
          </w:tcPr>
          <w:p w14:paraId="51E72912" w14:textId="28137C7A" w:rsidR="002F1A9A" w:rsidRPr="00ED172B" w:rsidRDefault="002F1A9A" w:rsidP="009A3621">
            <w:pPr>
              <w:jc w:val="center"/>
              <w:rPr>
                <w:rFonts w:cs="Arial"/>
                <w:noProof/>
                <w:color w:val="000000" w:themeColor="text1"/>
                <w:szCs w:val="16"/>
              </w:rPr>
            </w:pPr>
          </w:p>
        </w:tc>
        <w:tc>
          <w:tcPr>
            <w:tcW w:w="1394" w:type="pct"/>
            <w:shd w:val="clear" w:color="auto" w:fill="auto"/>
          </w:tcPr>
          <w:p w14:paraId="2C1F8516" w14:textId="6CE00AC5" w:rsidR="002F1A9A" w:rsidRPr="00ED172B" w:rsidRDefault="002F1A9A" w:rsidP="009A3621">
            <w:pPr>
              <w:jc w:val="center"/>
              <w:rPr>
                <w:rFonts w:cs="Arial"/>
                <w:noProof/>
                <w:color w:val="000000" w:themeColor="text1"/>
                <w:szCs w:val="16"/>
              </w:rPr>
            </w:pPr>
          </w:p>
        </w:tc>
        <w:tc>
          <w:tcPr>
            <w:tcW w:w="1307" w:type="pct"/>
            <w:shd w:val="clear" w:color="auto" w:fill="auto"/>
          </w:tcPr>
          <w:p w14:paraId="504165E6" w14:textId="20AD78DF" w:rsidR="002F1A9A" w:rsidRPr="00ED172B" w:rsidRDefault="002F1A9A" w:rsidP="00433DB7">
            <w:pPr>
              <w:jc w:val="center"/>
              <w:rPr>
                <w:rFonts w:cs="Arial"/>
                <w:noProof/>
                <w:color w:val="000000" w:themeColor="text1"/>
                <w:szCs w:val="16"/>
              </w:rPr>
            </w:pPr>
          </w:p>
        </w:tc>
      </w:tr>
      <w:tr w:rsidR="00ED172B" w:rsidRPr="00ED172B" w14:paraId="06686058" w14:textId="77777777" w:rsidTr="00986B99">
        <w:tc>
          <w:tcPr>
            <w:tcW w:w="899" w:type="pct"/>
            <w:shd w:val="clear" w:color="auto" w:fill="auto"/>
          </w:tcPr>
          <w:p w14:paraId="25B79FD3" w14:textId="19A616F7" w:rsidR="002F1A9A" w:rsidRPr="00ED172B" w:rsidRDefault="002F1A9A" w:rsidP="00186420">
            <w:pPr>
              <w:jc w:val="center"/>
              <w:rPr>
                <w:rFonts w:cs="Arial"/>
                <w:color w:val="000000" w:themeColor="text1"/>
                <w:szCs w:val="16"/>
              </w:rPr>
            </w:pPr>
          </w:p>
        </w:tc>
        <w:tc>
          <w:tcPr>
            <w:tcW w:w="1399" w:type="pct"/>
            <w:shd w:val="clear" w:color="auto" w:fill="auto"/>
          </w:tcPr>
          <w:p w14:paraId="107B2803" w14:textId="0CF5B5C3" w:rsidR="002F1A9A" w:rsidRPr="00ED172B" w:rsidRDefault="002F1A9A" w:rsidP="009A3621">
            <w:pPr>
              <w:jc w:val="center"/>
              <w:rPr>
                <w:rFonts w:cs="Arial"/>
                <w:noProof/>
                <w:color w:val="000000" w:themeColor="text1"/>
                <w:szCs w:val="16"/>
              </w:rPr>
            </w:pPr>
          </w:p>
        </w:tc>
        <w:tc>
          <w:tcPr>
            <w:tcW w:w="1394" w:type="pct"/>
            <w:shd w:val="clear" w:color="auto" w:fill="auto"/>
          </w:tcPr>
          <w:p w14:paraId="5FBAC412" w14:textId="4ED40606" w:rsidR="002F1A9A" w:rsidRPr="00ED172B" w:rsidRDefault="002F1A9A" w:rsidP="009A3621">
            <w:pPr>
              <w:jc w:val="center"/>
              <w:rPr>
                <w:rFonts w:cs="Arial"/>
                <w:noProof/>
                <w:color w:val="000000" w:themeColor="text1"/>
                <w:szCs w:val="16"/>
              </w:rPr>
            </w:pPr>
          </w:p>
        </w:tc>
        <w:tc>
          <w:tcPr>
            <w:tcW w:w="1307" w:type="pct"/>
            <w:shd w:val="clear" w:color="auto" w:fill="auto"/>
          </w:tcPr>
          <w:p w14:paraId="1B00BD3C" w14:textId="5FA6F0AB" w:rsidR="002F1A9A" w:rsidRPr="00ED172B" w:rsidRDefault="002F1A9A" w:rsidP="00433DB7">
            <w:pPr>
              <w:jc w:val="center"/>
              <w:rPr>
                <w:rFonts w:cs="Arial"/>
                <w:noProof/>
                <w:color w:val="000000" w:themeColor="text1"/>
                <w:szCs w:val="16"/>
              </w:rPr>
            </w:pPr>
          </w:p>
        </w:tc>
      </w:tr>
      <w:tr w:rsidR="00D06052" w:rsidRPr="00ED172B" w14:paraId="75EC4F8F" w14:textId="77777777" w:rsidTr="00986B99">
        <w:tc>
          <w:tcPr>
            <w:tcW w:w="899" w:type="pct"/>
            <w:shd w:val="clear" w:color="auto" w:fill="auto"/>
          </w:tcPr>
          <w:p w14:paraId="6B87481D" w14:textId="5A6E3598" w:rsidR="00D06052" w:rsidRPr="00ED172B" w:rsidRDefault="00D06052" w:rsidP="00D06052">
            <w:pPr>
              <w:jc w:val="center"/>
              <w:rPr>
                <w:rFonts w:cs="Arial"/>
                <w:color w:val="000000" w:themeColor="text1"/>
                <w:szCs w:val="16"/>
              </w:rPr>
            </w:pPr>
          </w:p>
        </w:tc>
        <w:tc>
          <w:tcPr>
            <w:tcW w:w="1399" w:type="pct"/>
            <w:shd w:val="clear" w:color="auto" w:fill="auto"/>
          </w:tcPr>
          <w:p w14:paraId="3FE68023" w14:textId="610C124D" w:rsidR="00D06052" w:rsidRPr="00ED172B" w:rsidRDefault="00D06052" w:rsidP="00D06052">
            <w:pPr>
              <w:jc w:val="center"/>
              <w:rPr>
                <w:rFonts w:cs="Arial"/>
                <w:color w:val="000000" w:themeColor="text1"/>
                <w:szCs w:val="16"/>
              </w:rPr>
            </w:pPr>
          </w:p>
        </w:tc>
        <w:tc>
          <w:tcPr>
            <w:tcW w:w="1394" w:type="pct"/>
            <w:shd w:val="clear" w:color="auto" w:fill="auto"/>
          </w:tcPr>
          <w:p w14:paraId="08CEA572" w14:textId="644D97CC" w:rsidR="00D06052" w:rsidRPr="00ED172B" w:rsidRDefault="00D06052" w:rsidP="00D06052">
            <w:pPr>
              <w:jc w:val="center"/>
              <w:rPr>
                <w:rFonts w:cs="Arial"/>
                <w:color w:val="000000" w:themeColor="text1"/>
                <w:szCs w:val="16"/>
              </w:rPr>
            </w:pPr>
          </w:p>
        </w:tc>
        <w:tc>
          <w:tcPr>
            <w:tcW w:w="1307" w:type="pct"/>
            <w:shd w:val="clear" w:color="auto" w:fill="auto"/>
          </w:tcPr>
          <w:p w14:paraId="7AADBB03" w14:textId="24C5A8C7" w:rsidR="00D06052" w:rsidRPr="00ED172B" w:rsidRDefault="00D06052" w:rsidP="00D06052">
            <w:pPr>
              <w:jc w:val="center"/>
              <w:rPr>
                <w:rFonts w:cs="Arial"/>
                <w:color w:val="000000" w:themeColor="text1"/>
                <w:szCs w:val="16"/>
              </w:rPr>
            </w:pPr>
          </w:p>
        </w:tc>
      </w:tr>
      <w:tr w:rsidR="00D06052" w:rsidRPr="00ED172B" w14:paraId="38F4CB9B" w14:textId="77777777" w:rsidTr="00986B99">
        <w:tc>
          <w:tcPr>
            <w:tcW w:w="899" w:type="pct"/>
            <w:shd w:val="clear" w:color="auto" w:fill="auto"/>
          </w:tcPr>
          <w:p w14:paraId="139D770E" w14:textId="6EB521BB" w:rsidR="00D06052" w:rsidRPr="00ED172B" w:rsidRDefault="00D06052" w:rsidP="00D06052">
            <w:pPr>
              <w:jc w:val="center"/>
              <w:rPr>
                <w:rFonts w:cs="Arial"/>
                <w:color w:val="000000" w:themeColor="text1"/>
                <w:szCs w:val="16"/>
              </w:rPr>
            </w:pPr>
          </w:p>
        </w:tc>
        <w:tc>
          <w:tcPr>
            <w:tcW w:w="1399" w:type="pct"/>
            <w:shd w:val="clear" w:color="auto" w:fill="auto"/>
          </w:tcPr>
          <w:p w14:paraId="1AED1D12" w14:textId="70F050AE" w:rsidR="00D06052" w:rsidRPr="00ED172B" w:rsidRDefault="00D06052" w:rsidP="00D06052">
            <w:pPr>
              <w:jc w:val="center"/>
              <w:rPr>
                <w:rFonts w:cs="Arial"/>
                <w:color w:val="000000" w:themeColor="text1"/>
                <w:szCs w:val="16"/>
              </w:rPr>
            </w:pPr>
          </w:p>
        </w:tc>
        <w:tc>
          <w:tcPr>
            <w:tcW w:w="1394" w:type="pct"/>
            <w:shd w:val="clear" w:color="auto" w:fill="auto"/>
          </w:tcPr>
          <w:p w14:paraId="1580EBDF" w14:textId="2288BD28" w:rsidR="00D06052" w:rsidRPr="00ED172B" w:rsidRDefault="00D06052" w:rsidP="00D06052">
            <w:pPr>
              <w:jc w:val="center"/>
              <w:rPr>
                <w:rFonts w:cs="Arial"/>
                <w:color w:val="000000" w:themeColor="text1"/>
                <w:szCs w:val="16"/>
              </w:rPr>
            </w:pPr>
          </w:p>
        </w:tc>
        <w:tc>
          <w:tcPr>
            <w:tcW w:w="1307" w:type="pct"/>
            <w:shd w:val="clear" w:color="auto" w:fill="auto"/>
          </w:tcPr>
          <w:p w14:paraId="0DE5838F" w14:textId="1505E187" w:rsidR="00D06052" w:rsidRPr="00ED172B" w:rsidRDefault="00D06052" w:rsidP="00D06052">
            <w:pPr>
              <w:jc w:val="center"/>
              <w:rPr>
                <w:rFonts w:cs="Arial"/>
                <w:color w:val="000000" w:themeColor="text1"/>
                <w:szCs w:val="16"/>
              </w:rPr>
            </w:pPr>
          </w:p>
        </w:tc>
      </w:tr>
    </w:tbl>
    <w:p w14:paraId="5567CC80" w14:textId="77777777" w:rsidR="00DE328D" w:rsidRPr="00ED172B" w:rsidRDefault="00DE328D">
      <w:pPr>
        <w:rPr>
          <w:color w:val="000000" w:themeColor="text1"/>
        </w:rPr>
      </w:pPr>
    </w:p>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50B0C9A3" w14:textId="77777777" w:rsidR="004C1CEE" w:rsidRPr="00ED172B" w:rsidRDefault="004C1CEE" w:rsidP="002F1A9A">
      <w:pPr>
        <w:rPr>
          <w:rFonts w:cs="Arial"/>
          <w:color w:val="000000" w:themeColor="text1"/>
          <w:szCs w:val="16"/>
        </w:rPr>
      </w:pPr>
    </w:p>
    <w:p w14:paraId="7CD7BB8E" w14:textId="2A40DF33" w:rsidR="002F1A9A" w:rsidRPr="00ED172B" w:rsidRDefault="002F1A9A"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7B432D1F" w14:textId="30BE75E8" w:rsidR="002F1A9A" w:rsidRPr="00ED172B" w:rsidRDefault="002F1A9A" w:rsidP="00027F39">
      <w:pPr>
        <w:rPr>
          <w:color w:val="000000" w:themeColor="text1"/>
        </w:rPr>
      </w:pP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2F1A9A" w:rsidP="00027F39">
      <w:pPr>
        <w:rPr>
          <w:color w:val="000000" w:themeColor="text1"/>
        </w:rPr>
      </w:pPr>
    </w:p>
    <w:p w14:paraId="14E4670B" w14:textId="0CF10102" w:rsidR="002F1A9A" w:rsidRPr="00A40EE1" w:rsidRDefault="000D0117" w:rsidP="005C3FFD">
      <w:pPr>
        <w:pStyle w:val="Heading2"/>
      </w:pPr>
      <w:r w:rsidRPr="00A40EE1">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In addition, the State must demonstrate, in the FFY 2023 SPP/APR, that the remaining one uncorrected finding of noncompliance identified in FFY 2021 was corrected. When reporting on the correction of noncompliance, the State must report, in the FFY 2023 SPP/APR, that it has verified that each EIS program or provider with findings of noncompliance identified in FFY 2022 and each EIS program or provider with remaining noncompliance identified in FFY 2021: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5457E150" w14:textId="2454D9B8"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3DA519AD" w14:textId="7BC50025" w:rsidR="006628E4" w:rsidRPr="00ED172B" w:rsidRDefault="006628E4" w:rsidP="00174E1C">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9"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shd w:val="clear" w:color="auto" w:fill="auto"/>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shd w:val="clear" w:color="auto" w:fill="auto"/>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shd w:val="clear" w:color="auto" w:fill="auto"/>
            <w:vAlign w:val="center"/>
          </w:tcPr>
          <w:p w14:paraId="2412809D"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shd w:val="clear" w:color="auto" w:fill="auto"/>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98.50%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shd w:val="clear" w:color="auto" w:fill="auto"/>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2021</w:t>
            </w:r>
          </w:p>
        </w:tc>
      </w:tr>
      <w:tr w:rsidR="00ED172B" w:rsidRPr="00ED172B" w14:paraId="1A3FBEC1" w14:textId="758D5A2D" w:rsidTr="00986B99">
        <w:trPr>
          <w:trHeight w:val="357"/>
        </w:trPr>
        <w:tc>
          <w:tcPr>
            <w:tcW w:w="666" w:type="pct"/>
            <w:shd w:val="clear" w:color="auto" w:fill="auto"/>
          </w:tcPr>
          <w:p w14:paraId="619910EF" w14:textId="5E3258DE"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shd w:val="clear" w:color="auto" w:fill="auto"/>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97.50%</w:t>
            </w:r>
          </w:p>
        </w:tc>
        <w:tc>
          <w:tcPr>
            <w:tcW w:w="867" w:type="pct"/>
            <w:shd w:val="clear" w:color="auto" w:fill="auto"/>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97.79%</w:t>
            </w:r>
          </w:p>
        </w:tc>
        <w:tc>
          <w:tcPr>
            <w:tcW w:w="866" w:type="pct"/>
            <w:shd w:val="clear" w:color="auto" w:fill="auto"/>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98.08%</w:t>
            </w:r>
          </w:p>
        </w:tc>
      </w:tr>
      <w:tr w:rsidR="00ED172B" w:rsidRPr="00ED172B" w14:paraId="5833C430" w14:textId="29FE84DB" w:rsidTr="00986B99">
        <w:trPr>
          <w:trHeight w:val="85"/>
        </w:trPr>
        <w:tc>
          <w:tcPr>
            <w:tcW w:w="666" w:type="pct"/>
            <w:shd w:val="clear" w:color="auto" w:fill="auto"/>
          </w:tcPr>
          <w:p w14:paraId="1A85A0DF"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shd w:val="clear" w:color="auto" w:fill="auto"/>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99.51%</w:t>
            </w:r>
          </w:p>
        </w:tc>
        <w:tc>
          <w:tcPr>
            <w:tcW w:w="867" w:type="pct"/>
            <w:shd w:val="clear" w:color="auto" w:fill="auto"/>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99.30%</w:t>
            </w:r>
          </w:p>
        </w:tc>
        <w:tc>
          <w:tcPr>
            <w:tcW w:w="867" w:type="pct"/>
            <w:tcBorders>
              <w:bottom w:val="single" w:sz="4" w:space="0" w:color="auto"/>
            </w:tcBorders>
            <w:shd w:val="clear" w:color="auto" w:fill="auto"/>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99.68%</w:t>
            </w:r>
          </w:p>
        </w:tc>
        <w:tc>
          <w:tcPr>
            <w:tcW w:w="867" w:type="pct"/>
            <w:tcBorders>
              <w:bottom w:val="single" w:sz="4" w:space="0" w:color="auto"/>
            </w:tcBorders>
            <w:shd w:val="clear" w:color="auto" w:fill="auto"/>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99.93%</w:t>
            </w:r>
          </w:p>
        </w:tc>
        <w:tc>
          <w:tcPr>
            <w:tcW w:w="866" w:type="pct"/>
            <w:tcBorders>
              <w:bottom w:val="single" w:sz="4" w:space="0" w:color="auto"/>
            </w:tcBorders>
            <w:shd w:val="clear" w:color="auto" w:fill="auto"/>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99.50%</w:t>
            </w:r>
          </w:p>
        </w:tc>
      </w:tr>
    </w:tbl>
    <w:p w14:paraId="54FA3A41" w14:textId="1A075C46" w:rsidR="00B312CC" w:rsidRPr="00ED172B" w:rsidRDefault="00B312CC">
      <w:pPr>
        <w:rPr>
          <w:b/>
          <w:color w:val="000000" w:themeColor="text1"/>
        </w:rPr>
      </w:pPr>
      <w:r w:rsidRPr="00ED172B">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28"/>
        <w:gridCol w:w="1677"/>
        <w:gridCol w:w="1678"/>
        <w:gridCol w:w="1678"/>
        <w:gridCol w:w="1675"/>
      </w:tblGrid>
      <w:tr w:rsidR="00C843AF" w:rsidRPr="00ED172B" w14:paraId="69640561" w14:textId="00BF0E9A" w:rsidTr="00E415ED">
        <w:trPr>
          <w:trHeight w:val="350"/>
        </w:trPr>
        <w:tc>
          <w:tcPr>
            <w:tcW w:w="490" w:type="pct"/>
            <w:tcBorders>
              <w:bottom w:val="single" w:sz="4" w:space="0" w:color="auto"/>
            </w:tcBorders>
            <w:shd w:val="clear" w:color="auto" w:fill="auto"/>
          </w:tcPr>
          <w:p w14:paraId="1E99C122" w14:textId="77777777" w:rsidR="00C843AF" w:rsidRPr="00ED172B" w:rsidRDefault="00C843AF" w:rsidP="003546A3">
            <w:pPr>
              <w:jc w:val="center"/>
              <w:rPr>
                <w:b/>
                <w:color w:val="000000" w:themeColor="text1"/>
                <w:szCs w:val="16"/>
              </w:rPr>
            </w:pPr>
            <w:r w:rsidRPr="00ED172B">
              <w:rPr>
                <w:b/>
                <w:color w:val="000000" w:themeColor="text1"/>
                <w:szCs w:val="16"/>
              </w:rPr>
              <w:t>FFY</w:t>
            </w:r>
          </w:p>
        </w:tc>
        <w:tc>
          <w:tcPr>
            <w:tcW w:w="1128" w:type="pct"/>
            <w:shd w:val="clear" w:color="auto" w:fill="auto"/>
            <w:vAlign w:val="center"/>
          </w:tcPr>
          <w:p w14:paraId="65FF2B00" w14:textId="7CCAF341" w:rsidR="00C843AF" w:rsidRPr="00ED172B" w:rsidRDefault="00C843AF" w:rsidP="003546A3">
            <w:pPr>
              <w:jc w:val="center"/>
              <w:rPr>
                <w:b/>
                <w:color w:val="000000" w:themeColor="text1"/>
                <w:szCs w:val="16"/>
              </w:rPr>
            </w:pPr>
            <w:r w:rsidRPr="00ED172B">
              <w:rPr>
                <w:rFonts w:cs="Arial"/>
                <w:b/>
                <w:color w:val="000000" w:themeColor="text1"/>
                <w:szCs w:val="16"/>
              </w:rPr>
              <w:t>2022</w:t>
            </w:r>
          </w:p>
        </w:tc>
        <w:tc>
          <w:tcPr>
            <w:tcW w:w="1128" w:type="pct"/>
          </w:tcPr>
          <w:p w14:paraId="6A5B5290" w14:textId="1CFF28ED" w:rsidR="00C843AF" w:rsidRPr="00ED172B" w:rsidRDefault="00C843AF" w:rsidP="003546A3">
            <w:pPr>
              <w:jc w:val="center"/>
              <w:rPr>
                <w:rFonts w:cs="Arial"/>
                <w:b/>
                <w:color w:val="000000" w:themeColor="text1"/>
                <w:szCs w:val="16"/>
              </w:rPr>
            </w:pPr>
            <w:r>
              <w:rPr>
                <w:rFonts w:cs="Arial"/>
                <w:b/>
                <w:color w:val="000000" w:themeColor="text1"/>
                <w:szCs w:val="16"/>
              </w:rPr>
              <w:t>2023</w:t>
            </w:r>
          </w:p>
        </w:tc>
        <w:tc>
          <w:tcPr>
            <w:tcW w:w="1128" w:type="pct"/>
          </w:tcPr>
          <w:p w14:paraId="4C7B3CA6" w14:textId="5B6A1FA8" w:rsidR="00C843AF" w:rsidRPr="00ED172B" w:rsidRDefault="00C843AF" w:rsidP="003546A3">
            <w:pPr>
              <w:jc w:val="center"/>
              <w:rPr>
                <w:rFonts w:cs="Arial"/>
                <w:b/>
                <w:color w:val="000000" w:themeColor="text1"/>
                <w:szCs w:val="16"/>
              </w:rPr>
            </w:pPr>
            <w:r w:rsidRPr="005A1B4F">
              <w:rPr>
                <w:rFonts w:cs="Arial"/>
                <w:b/>
                <w:color w:val="000000" w:themeColor="text1"/>
                <w:szCs w:val="16"/>
              </w:rPr>
              <w:t>2024</w:t>
            </w:r>
          </w:p>
        </w:tc>
        <w:tc>
          <w:tcPr>
            <w:tcW w:w="1128" w:type="pct"/>
          </w:tcPr>
          <w:p w14:paraId="42E64847" w14:textId="5D935C1F" w:rsidR="00C843AF" w:rsidRPr="00ED172B" w:rsidRDefault="00C843AF" w:rsidP="003546A3">
            <w:pPr>
              <w:jc w:val="center"/>
              <w:rPr>
                <w:rFonts w:cs="Arial"/>
                <w:b/>
                <w:color w:val="000000" w:themeColor="text1"/>
                <w:szCs w:val="16"/>
              </w:rPr>
            </w:pPr>
            <w:r w:rsidRPr="005A1B4F">
              <w:rPr>
                <w:rFonts w:cs="Arial"/>
                <w:b/>
                <w:color w:val="000000" w:themeColor="text1"/>
                <w:szCs w:val="16"/>
              </w:rPr>
              <w:t>2025</w:t>
            </w:r>
          </w:p>
        </w:tc>
      </w:tr>
      <w:tr w:rsidR="00C843AF" w:rsidRPr="00ED172B" w14:paraId="67435F39" w14:textId="4B221A6D" w:rsidTr="00E415ED">
        <w:trPr>
          <w:trHeight w:val="357"/>
        </w:trPr>
        <w:tc>
          <w:tcPr>
            <w:tcW w:w="490" w:type="pct"/>
            <w:shd w:val="clear" w:color="auto" w:fill="auto"/>
          </w:tcPr>
          <w:p w14:paraId="3D2F539F" w14:textId="00377A5F" w:rsidR="00C843AF" w:rsidRPr="00ED172B" w:rsidRDefault="00C843AF" w:rsidP="00D21F29">
            <w:pPr>
              <w:jc w:val="center"/>
              <w:rPr>
                <w:color w:val="000000" w:themeColor="text1"/>
                <w:szCs w:val="16"/>
              </w:rPr>
            </w:pPr>
            <w:r w:rsidRPr="00ED172B">
              <w:rPr>
                <w:color w:val="000000" w:themeColor="text1"/>
                <w:szCs w:val="16"/>
              </w:rPr>
              <w:t>Target&gt;=</w:t>
            </w:r>
          </w:p>
        </w:tc>
        <w:tc>
          <w:tcPr>
            <w:tcW w:w="1128" w:type="pct"/>
            <w:shd w:val="clear" w:color="auto" w:fill="auto"/>
            <w:vAlign w:val="center"/>
          </w:tcPr>
          <w:p w14:paraId="64D40D5F" w14:textId="4B9F73CA" w:rsidR="00C843AF" w:rsidRPr="00ED172B" w:rsidRDefault="00C843AF" w:rsidP="00573310">
            <w:pPr>
              <w:jc w:val="center"/>
              <w:rPr>
                <w:color w:val="000000" w:themeColor="text1"/>
                <w:szCs w:val="16"/>
              </w:rPr>
            </w:pPr>
            <w:r w:rsidRPr="00ED172B">
              <w:rPr>
                <w:rFonts w:cs="Arial"/>
                <w:color w:val="000000" w:themeColor="text1"/>
                <w:szCs w:val="16"/>
              </w:rPr>
              <w:t>98.37%</w:t>
            </w:r>
          </w:p>
        </w:tc>
        <w:tc>
          <w:tcPr>
            <w:tcW w:w="1128" w:type="pct"/>
          </w:tcPr>
          <w:p w14:paraId="729751AD" w14:textId="13A0179F" w:rsidR="00C843AF" w:rsidRPr="00ED172B" w:rsidRDefault="00C843AF" w:rsidP="00573310">
            <w:pPr>
              <w:jc w:val="center"/>
              <w:rPr>
                <w:rFonts w:cs="Arial"/>
                <w:color w:val="000000" w:themeColor="text1"/>
                <w:szCs w:val="16"/>
              </w:rPr>
            </w:pPr>
            <w:r>
              <w:rPr>
                <w:rFonts w:cs="Arial"/>
                <w:color w:val="000000" w:themeColor="text1"/>
                <w:szCs w:val="16"/>
              </w:rPr>
              <w:t>98.66%</w:t>
            </w:r>
          </w:p>
        </w:tc>
        <w:tc>
          <w:tcPr>
            <w:tcW w:w="1128" w:type="pct"/>
          </w:tcPr>
          <w:p w14:paraId="32254393" w14:textId="0DA02971" w:rsidR="00C843AF" w:rsidRPr="00ED172B" w:rsidRDefault="00C843AF" w:rsidP="00573310">
            <w:pPr>
              <w:jc w:val="center"/>
              <w:rPr>
                <w:rFonts w:cs="Arial"/>
                <w:color w:val="000000" w:themeColor="text1"/>
                <w:szCs w:val="16"/>
              </w:rPr>
            </w:pPr>
            <w:r w:rsidRPr="005F5F3C">
              <w:rPr>
                <w:rFonts w:cs="Arial"/>
                <w:color w:val="000000" w:themeColor="text1"/>
                <w:szCs w:val="16"/>
              </w:rPr>
              <w:t>98.95%</w:t>
            </w:r>
          </w:p>
        </w:tc>
        <w:tc>
          <w:tcPr>
            <w:tcW w:w="1128" w:type="pct"/>
          </w:tcPr>
          <w:p w14:paraId="36BBFFFB" w14:textId="63C7EE46" w:rsidR="00C843AF" w:rsidRPr="00ED172B" w:rsidRDefault="00C843AF" w:rsidP="00573310">
            <w:pPr>
              <w:jc w:val="center"/>
              <w:rPr>
                <w:rFonts w:cs="Arial"/>
                <w:color w:val="000000" w:themeColor="text1"/>
                <w:szCs w:val="16"/>
              </w:rPr>
            </w:pPr>
            <w:r w:rsidRPr="005F5F3C">
              <w:rPr>
                <w:rFonts w:cs="Arial"/>
                <w:color w:val="000000" w:themeColor="text1"/>
                <w:szCs w:val="16"/>
              </w:rPr>
              <w:t>99.27%</w:t>
            </w:r>
          </w:p>
        </w:tc>
      </w:tr>
    </w:tbl>
    <w:p w14:paraId="048B5BE7" w14:textId="7B076B48"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58140005" w14:textId="254A99F8" w:rsidR="00F80C9C" w:rsidRDefault="00CF03E0" w:rsidP="00CF03E0">
      <w:pPr>
        <w:rPr>
          <w:color w:val="000000" w:themeColor="text1"/>
        </w:rPr>
      </w:pPr>
      <w:r w:rsidRPr="00ED172B">
        <w:rPr>
          <w:b/>
          <w:color w:val="000000" w:themeColor="text1"/>
        </w:rPr>
        <w:t xml:space="preserve"> </w:t>
      </w: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r>
      <w:r w:rsidRPr="00ED172B">
        <w:rPr>
          <w:color w:val="000000" w:themeColor="text1"/>
        </w:rPr>
        <w:lastRenderedPageBreak/>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7615FD78" w14:textId="04DD62A8" w:rsidR="00AE7452" w:rsidRPr="00ED172B" w:rsidRDefault="00AE7452" w:rsidP="00B83404">
      <w:pPr>
        <w:rPr>
          <w:color w:val="000000" w:themeColor="text1"/>
        </w:rPr>
      </w:pP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shd w:val="clear" w:color="auto" w:fill="auto"/>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shd w:val="clear" w:color="auto" w:fill="auto"/>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460" w:type="pct"/>
            <w:shd w:val="clear" w:color="auto" w:fill="auto"/>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08/30/2023</w:t>
            </w:r>
          </w:p>
        </w:tc>
        <w:tc>
          <w:tcPr>
            <w:tcW w:w="1487" w:type="pct"/>
            <w:shd w:val="clear" w:color="auto" w:fill="auto"/>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14:paraId="1C4DB47F" w14:textId="62B147B6" w:rsidR="006111D4" w:rsidRPr="00ED172B" w:rsidRDefault="00860830" w:rsidP="006111D4">
            <w:pPr>
              <w:jc w:val="center"/>
              <w:rPr>
                <w:color w:val="000000" w:themeColor="text1"/>
                <w:szCs w:val="16"/>
              </w:rPr>
            </w:pPr>
            <w:r w:rsidRPr="00ED172B">
              <w:rPr>
                <w:color w:val="000000" w:themeColor="text1"/>
                <w:szCs w:val="16"/>
              </w:rPr>
              <w:t>3,247</w:t>
            </w:r>
          </w:p>
        </w:tc>
      </w:tr>
      <w:tr w:rsidR="00ED172B" w:rsidRPr="00ED172B" w14:paraId="23879959" w14:textId="77777777" w:rsidTr="00986B99">
        <w:trPr>
          <w:trHeight w:val="380"/>
        </w:trPr>
        <w:tc>
          <w:tcPr>
            <w:tcW w:w="1207" w:type="pct"/>
            <w:shd w:val="clear" w:color="auto" w:fill="auto"/>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460" w:type="pct"/>
            <w:shd w:val="clear" w:color="auto" w:fill="auto"/>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t>08/30/2023</w:t>
            </w:r>
          </w:p>
        </w:tc>
        <w:tc>
          <w:tcPr>
            <w:tcW w:w="1487" w:type="pct"/>
            <w:shd w:val="clear" w:color="auto" w:fill="auto"/>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3,273</w:t>
            </w:r>
          </w:p>
        </w:tc>
      </w:tr>
    </w:tbl>
    <w:p w14:paraId="7B961186" w14:textId="217E2F32" w:rsidR="006628E4" w:rsidRPr="00ED172B" w:rsidRDefault="00F22D09">
      <w:pPr>
        <w:rPr>
          <w:b/>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07885561" w14:textId="77777777" w:rsidTr="00986B99">
        <w:trPr>
          <w:trHeight w:val="359"/>
          <w:tblHeader/>
        </w:trPr>
        <w:tc>
          <w:tcPr>
            <w:tcW w:w="834" w:type="pct"/>
            <w:shd w:val="clear" w:color="auto" w:fill="auto"/>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14:paraId="10A26864" w14:textId="00E54FCF" w:rsidR="00B605F5" w:rsidRPr="00ED172B" w:rsidRDefault="00CD74B5" w:rsidP="00B605F5">
            <w:pPr>
              <w:jc w:val="center"/>
              <w:rPr>
                <w:b/>
                <w:color w:val="000000" w:themeColor="text1"/>
                <w:szCs w:val="16"/>
              </w:rPr>
            </w:pPr>
            <w:r>
              <w:rPr>
                <w:rFonts w:cs="Arial"/>
                <w:b/>
                <w:color w:val="000000" w:themeColor="text1"/>
                <w:szCs w:val="16"/>
              </w:rPr>
              <w:t>FFY 2021 Data</w:t>
            </w:r>
          </w:p>
        </w:tc>
        <w:tc>
          <w:tcPr>
            <w:tcW w:w="877" w:type="pct"/>
            <w:shd w:val="clear" w:color="auto" w:fill="auto"/>
            <w:vAlign w:val="bottom"/>
          </w:tcPr>
          <w:p w14:paraId="418B7AF3" w14:textId="783365FA" w:rsidR="00B605F5" w:rsidRPr="00ED172B" w:rsidRDefault="00F22D09" w:rsidP="00B605F5">
            <w:pPr>
              <w:jc w:val="center"/>
              <w:rPr>
                <w:b/>
                <w:color w:val="000000" w:themeColor="text1"/>
                <w:szCs w:val="16"/>
              </w:rPr>
            </w:pPr>
            <w:r>
              <w:rPr>
                <w:rFonts w:cs="Arial"/>
                <w:b/>
                <w:color w:val="000000" w:themeColor="text1"/>
                <w:szCs w:val="16"/>
              </w:rPr>
              <w:t>FFY 2022 Target</w:t>
            </w:r>
          </w:p>
        </w:tc>
        <w:tc>
          <w:tcPr>
            <w:tcW w:w="528" w:type="pct"/>
            <w:shd w:val="clear" w:color="auto" w:fill="auto"/>
            <w:vAlign w:val="bottom"/>
          </w:tcPr>
          <w:p w14:paraId="1EF8A614" w14:textId="66DC2759" w:rsidR="00B605F5" w:rsidRPr="00ED172B" w:rsidRDefault="00F22D09" w:rsidP="00B605F5">
            <w:pPr>
              <w:jc w:val="center"/>
              <w:rPr>
                <w:b/>
                <w:color w:val="000000" w:themeColor="text1"/>
                <w:szCs w:val="16"/>
              </w:rPr>
            </w:pPr>
            <w:r>
              <w:rPr>
                <w:rFonts w:cs="Arial"/>
                <w:b/>
                <w:color w:val="000000" w:themeColor="text1"/>
                <w:szCs w:val="16"/>
              </w:rPr>
              <w:t>FFY 2022 Data</w:t>
            </w:r>
          </w:p>
        </w:tc>
        <w:tc>
          <w:tcPr>
            <w:tcW w:w="669" w:type="pct"/>
            <w:shd w:val="clear" w:color="auto" w:fill="auto"/>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shd w:val="clear" w:color="auto" w:fill="auto"/>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3,247</w:t>
            </w:r>
          </w:p>
        </w:tc>
        <w:tc>
          <w:tcPr>
            <w:tcW w:w="856" w:type="pct"/>
            <w:shd w:val="clear" w:color="auto" w:fill="auto"/>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3,273</w:t>
            </w:r>
          </w:p>
        </w:tc>
        <w:tc>
          <w:tcPr>
            <w:tcW w:w="587" w:type="pct"/>
            <w:shd w:val="clear" w:color="auto" w:fill="auto"/>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99.50%</w:t>
            </w:r>
          </w:p>
        </w:tc>
        <w:tc>
          <w:tcPr>
            <w:tcW w:w="877" w:type="pct"/>
            <w:shd w:val="clear" w:color="auto" w:fill="auto"/>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98.37%</w:t>
            </w:r>
          </w:p>
        </w:tc>
        <w:tc>
          <w:tcPr>
            <w:tcW w:w="528" w:type="pct"/>
            <w:shd w:val="clear" w:color="auto" w:fill="auto"/>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99.21%</w:t>
            </w:r>
          </w:p>
        </w:tc>
        <w:tc>
          <w:tcPr>
            <w:tcW w:w="669" w:type="pct"/>
            <w:shd w:val="clear" w:color="auto" w:fill="auto"/>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shd w:val="clear" w:color="auto" w:fill="auto"/>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7203ABB" w14:textId="34BF3061" w:rsidR="003A3693" w:rsidRPr="00ED172B" w:rsidRDefault="00860830" w:rsidP="003A3693">
      <w:pPr>
        <w:rPr>
          <w:rFonts w:cs="Arial"/>
          <w:color w:val="000000" w:themeColor="text1"/>
          <w:szCs w:val="16"/>
        </w:rPr>
      </w:pPr>
      <w:r w:rsidRPr="00ED172B">
        <w:rPr>
          <w:rFonts w:cs="Arial"/>
          <w:color w:val="000000" w:themeColor="text1"/>
          <w:szCs w:val="16"/>
        </w:rPr>
        <w:t xml:space="preserve">Data for this indicator are generated using the Tracking Resources and Children (TRAC) child data collection system. These data are reported based on the 618 data report for December 1, </w:t>
      </w:r>
      <w:proofErr w:type="gramStart"/>
      <w:r w:rsidRPr="00ED172B">
        <w:rPr>
          <w:rFonts w:cs="Arial"/>
          <w:color w:val="000000" w:themeColor="text1"/>
          <w:szCs w:val="16"/>
        </w:rPr>
        <w:t>2022</w:t>
      </w:r>
      <w:proofErr w:type="gramEnd"/>
      <w:r w:rsidRPr="00ED172B">
        <w:rPr>
          <w:rFonts w:cs="Arial"/>
          <w:color w:val="000000" w:themeColor="text1"/>
          <w:szCs w:val="16"/>
        </w:rPr>
        <w:t xml:space="preserve"> and reflect the number and percent of children who received the majority of their early intervention services in natural environments.</w:t>
      </w:r>
      <w:r w:rsidRPr="00ED172B">
        <w:rPr>
          <w:rFonts w:cs="Arial"/>
          <w:color w:val="000000" w:themeColor="text1"/>
          <w:szCs w:val="16"/>
        </w:rPr>
        <w:br/>
        <w:t xml:space="preserve"> </w:t>
      </w:r>
      <w:r w:rsidRPr="00ED172B">
        <w:rPr>
          <w:rFonts w:cs="Arial"/>
          <w:color w:val="000000" w:themeColor="text1"/>
          <w:szCs w:val="16"/>
        </w:rPr>
        <w:br/>
        <w:t>Although, the target was met, there were two (2) programs with a finding issued in this indicator due to a performance lower than 98.37%. The programs were notified they must correct the noncompliance as soon as possible but not later than one (1) year from the date the finding was issued (June 30, 2023). The Part C Office will continue to track and gather December 1 count data from all EI programs providing services in Nevada for continuous reporting in next year’s APR.</w:t>
      </w:r>
      <w:r w:rsidRPr="00ED172B">
        <w:rPr>
          <w:rFonts w:cs="Arial"/>
          <w:color w:val="000000" w:themeColor="text1"/>
          <w:szCs w:val="16"/>
        </w:rPr>
        <w:br/>
        <w:t xml:space="preserve"> </w:t>
      </w:r>
      <w:r w:rsidRPr="00ED172B">
        <w:rPr>
          <w:rFonts w:cs="Arial"/>
          <w:color w:val="000000" w:themeColor="text1"/>
          <w:szCs w:val="16"/>
        </w:rPr>
        <w:br/>
        <w:t>Nevada continues to maintain a high level of performance in this area and has exceeded the state target. This reporting year's performance data of (99.21%) is slightly lower than 99.50% reported in FFY 2021. These data continue to represent a high level of achievement and are attributable to the individualization of services for children and families.</w:t>
      </w: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DC0682" w:rsidP="002F5A9E">
      <w:pPr>
        <w:rPr>
          <w:color w:val="000000" w:themeColor="text1"/>
        </w:rPr>
      </w:pP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DC0682" w:rsidP="002F5A9E">
      <w:pPr>
        <w:rPr>
          <w:color w:val="000000" w:themeColor="text1"/>
        </w:rPr>
      </w:pP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A. Positive social-emotional skills (including social relationships</w:t>
      </w:r>
      <w:proofErr w:type="gramStart"/>
      <w:r w:rsidRPr="00ED172B">
        <w:rPr>
          <w:rFonts w:cs="Arial"/>
          <w:color w:val="000000" w:themeColor="text1"/>
          <w:szCs w:val="16"/>
        </w:rPr>
        <w:t>);</w:t>
      </w:r>
      <w:proofErr w:type="gramEnd"/>
      <w:r w:rsidRPr="00ED172B">
        <w:rPr>
          <w:rFonts w:cs="Arial"/>
          <w:color w:val="000000" w:themeColor="text1"/>
          <w:szCs w:val="16"/>
        </w:rPr>
        <w:t xml:space="preserve">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roofErr w:type="gramStart"/>
      <w:r w:rsidR="005E54D4" w:rsidRPr="00ED172B">
        <w:rPr>
          <w:rFonts w:cs="Arial"/>
          <w:color w:val="000000" w:themeColor="text1"/>
          <w:szCs w:val="16"/>
        </w:rPr>
        <w:t>);</w:t>
      </w:r>
      <w:proofErr w:type="gramEnd"/>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23EB9319" w:rsidR="00F83F88" w:rsidRPr="00ED172B" w:rsidRDefault="00F83F88" w:rsidP="004A4483">
      <w:pPr>
        <w:rPr>
          <w:color w:val="000000" w:themeColor="text1"/>
          <w:szCs w:val="16"/>
        </w:rPr>
      </w:pPr>
      <w:r w:rsidRPr="00ED172B">
        <w:rPr>
          <w:color w:val="000000" w:themeColor="text1"/>
          <w:szCs w:val="16"/>
        </w:rPr>
        <w:t xml:space="preserve">Report progress data and calculate Summary Statements to compare against the six targets. Provide the actual numbers and percentages for the five reporting categories for each of the three </w:t>
      </w:r>
      <w:r w:rsidR="00B13B7A">
        <w:rPr>
          <w:color w:val="000000" w:themeColor="text1"/>
          <w:szCs w:val="16"/>
        </w:rPr>
        <w:t>O</w:t>
      </w:r>
      <w:r w:rsidRPr="00ED172B">
        <w:rPr>
          <w:color w:val="000000" w:themeColor="text1"/>
          <w:szCs w:val="16"/>
        </w:rPr>
        <w:t>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 xml:space="preserve">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w:t>
      </w:r>
      <w:proofErr w:type="gramStart"/>
      <w:r w:rsidRPr="00ED172B">
        <w:rPr>
          <w:color w:val="000000" w:themeColor="text1"/>
          <w:szCs w:val="16"/>
        </w:rPr>
        <w:t>all of</w:t>
      </w:r>
      <w:proofErr w:type="gramEnd"/>
      <w:r w:rsidRPr="00ED172B">
        <w:rPr>
          <w:color w:val="000000" w:themeColor="text1"/>
          <w:szCs w:val="16"/>
        </w:rPr>
        <w:t xml:space="preserve">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lastRenderedPageBreak/>
        <w:t xml:space="preserve">3 - </w:t>
      </w:r>
      <w:r w:rsidR="004A4483" w:rsidRPr="00A40EE1">
        <w:t>Indicator Data</w:t>
      </w:r>
      <w:bookmarkEnd w:id="14"/>
    </w:p>
    <w:p w14:paraId="4F24CCB1" w14:textId="0C4D54E3" w:rsidR="00363AAB" w:rsidRPr="00ED172B" w:rsidRDefault="00363AAB" w:rsidP="00186420">
      <w:pPr>
        <w:rPr>
          <w:b/>
          <w:color w:val="000000" w:themeColor="text1"/>
        </w:rPr>
      </w:pPr>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E42FBC3" w14:textId="45672C6E" w:rsidR="00363AAB" w:rsidRPr="00ED172B" w:rsidRDefault="00363AAB">
      <w:pPr>
        <w:rPr>
          <w:color w:val="000000" w:themeColor="text1"/>
        </w:rPr>
      </w:pPr>
      <w:r w:rsidRPr="00ED172B">
        <w:rPr>
          <w:color w:val="000000" w:themeColor="text1"/>
        </w:rPr>
        <w:t>NO</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28278A5A" w14:textId="77CA1927" w:rsidR="00F32724" w:rsidRDefault="00CF03E0" w:rsidP="00CF03E0">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4E7E8330" w14:textId="749679DB" w:rsidR="004C1CEE" w:rsidRPr="00ED172B" w:rsidRDefault="004C1CEE" w:rsidP="00F32724">
      <w:pPr>
        <w:rPr>
          <w:color w:val="000000" w:themeColor="text1"/>
        </w:rPr>
      </w:pPr>
    </w:p>
    <w:p w14:paraId="76A19C1D" w14:textId="4079988E" w:rsidR="001A4B29" w:rsidRPr="00ED172B" w:rsidRDefault="001A4B29">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3HISTDATA1"/>
      </w:tblPr>
      <w:tblGrid>
        <w:gridCol w:w="1078"/>
        <w:gridCol w:w="1078"/>
        <w:gridCol w:w="1079"/>
        <w:gridCol w:w="1511"/>
        <w:gridCol w:w="1511"/>
        <w:gridCol w:w="1511"/>
        <w:gridCol w:w="1511"/>
        <w:gridCol w:w="1511"/>
      </w:tblGrid>
      <w:tr w:rsidR="00ED172B" w:rsidRPr="00ED172B" w14:paraId="35BD5034" w14:textId="29B5A610" w:rsidTr="00A40EE1">
        <w:trPr>
          <w:trHeight w:val="395"/>
        </w:trPr>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4E846D5C" w14:textId="0DA7F083" w:rsidR="00E87031" w:rsidRPr="00ED172B" w:rsidRDefault="00E55520" w:rsidP="00E87031">
            <w:pPr>
              <w:jc w:val="center"/>
              <w:rPr>
                <w:rFonts w:cs="Arial"/>
                <w:b/>
                <w:color w:val="000000" w:themeColor="text1"/>
                <w:szCs w:val="16"/>
              </w:rPr>
            </w:pPr>
            <w:r>
              <w:rPr>
                <w:rFonts w:cs="Arial"/>
                <w:b/>
                <w:color w:val="000000" w:themeColor="text1"/>
                <w:szCs w:val="16"/>
              </w:rPr>
              <w:t>Outcome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06527863" w14:textId="251D9709" w:rsidR="00E87031" w:rsidRPr="00ED172B" w:rsidRDefault="00E87031" w:rsidP="00E87031">
            <w:pPr>
              <w:jc w:val="center"/>
              <w:rPr>
                <w:rFonts w:cs="Arial"/>
                <w:b/>
                <w:color w:val="000000" w:themeColor="text1"/>
                <w:szCs w:val="16"/>
              </w:rPr>
            </w:pPr>
            <w:r w:rsidRPr="00ED172B">
              <w:rPr>
                <w:rFonts w:cs="Arial"/>
                <w:b/>
                <w:color w:val="000000" w:themeColor="text1"/>
                <w:szCs w:val="16"/>
              </w:rPr>
              <w:t>Baseline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5A2957BE" w14:textId="2C7B03ED" w:rsidR="00E87031" w:rsidRPr="00ED172B" w:rsidRDefault="00E87031" w:rsidP="00E87031">
            <w:pPr>
              <w:jc w:val="center"/>
              <w:rPr>
                <w:rFonts w:cs="Arial"/>
                <w:b/>
                <w:color w:val="000000" w:themeColor="text1"/>
                <w:szCs w:val="16"/>
              </w:rPr>
            </w:pPr>
            <w:r w:rsidRPr="00ED172B">
              <w:rPr>
                <w:rFonts w:cs="Arial"/>
                <w:b/>
                <w:color w:val="000000" w:themeColor="text1"/>
                <w:szCs w:val="16"/>
              </w:rPr>
              <w:t>FFY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B76558F" w14:textId="074C0C53" w:rsidR="00E87031" w:rsidRPr="00ED172B" w:rsidRDefault="002163F2" w:rsidP="00E87031">
            <w:pPr>
              <w:jc w:val="center"/>
              <w:rPr>
                <w:rFonts w:cs="Arial"/>
                <w:b/>
                <w:color w:val="000000" w:themeColor="text1"/>
                <w:szCs w:val="16"/>
              </w:rPr>
            </w:pPr>
            <w:r w:rsidRPr="00ED172B">
              <w:rPr>
                <w:rFonts w:cs="Arial"/>
                <w:b/>
                <w:color w:val="000000" w:themeColor="text1"/>
                <w:szCs w:val="16"/>
              </w:rPr>
              <w:t>2017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893A07F" w14:textId="1CDA13A9" w:rsidR="00E87031" w:rsidRPr="00ED172B" w:rsidRDefault="002163F2" w:rsidP="00E87031">
            <w:pPr>
              <w:jc w:val="center"/>
              <w:rPr>
                <w:rFonts w:cs="Arial"/>
                <w:b/>
                <w:color w:val="000000" w:themeColor="text1"/>
                <w:szCs w:val="16"/>
              </w:rPr>
            </w:pPr>
            <w:r w:rsidRPr="00ED172B">
              <w:rPr>
                <w:rFonts w:cs="Arial"/>
                <w:b/>
                <w:color w:val="000000" w:themeColor="text1"/>
                <w:szCs w:val="16"/>
              </w:rPr>
              <w:t>2018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B2578E" w14:textId="7026210E" w:rsidR="00E87031" w:rsidRPr="00ED172B" w:rsidRDefault="002163F2" w:rsidP="00E87031">
            <w:pPr>
              <w:jc w:val="center"/>
              <w:rPr>
                <w:rFonts w:cs="Arial"/>
                <w:b/>
                <w:color w:val="000000" w:themeColor="text1"/>
                <w:szCs w:val="16"/>
              </w:rPr>
            </w:pPr>
            <w:r w:rsidRPr="00ED172B">
              <w:rPr>
                <w:rFonts w:cs="Arial"/>
                <w:b/>
                <w:color w:val="000000" w:themeColor="text1"/>
                <w:szCs w:val="16"/>
              </w:rPr>
              <w:t>2019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DC945F" w14:textId="2A4DDDFA" w:rsidR="00E87031" w:rsidRPr="00ED172B" w:rsidRDefault="002163F2" w:rsidP="00E87031">
            <w:pPr>
              <w:jc w:val="center"/>
              <w:rPr>
                <w:rFonts w:cs="Arial"/>
                <w:b/>
                <w:color w:val="000000" w:themeColor="text1"/>
                <w:szCs w:val="16"/>
              </w:rPr>
            </w:pPr>
            <w:r w:rsidRPr="00ED172B">
              <w:rPr>
                <w:rFonts w:cs="Arial"/>
                <w:b/>
                <w:color w:val="000000" w:themeColor="text1"/>
                <w:szCs w:val="16"/>
              </w:rPr>
              <w:t>2020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8B07557" w14:textId="0E63ADD4" w:rsidR="00E87031" w:rsidRPr="00ED172B" w:rsidRDefault="006D43D3" w:rsidP="00E87031">
            <w:pPr>
              <w:jc w:val="center"/>
              <w:rPr>
                <w:rFonts w:cs="Arial"/>
                <w:b/>
                <w:color w:val="000000" w:themeColor="text1"/>
                <w:szCs w:val="16"/>
              </w:rPr>
            </w:pPr>
            <w:r w:rsidRPr="00ED172B">
              <w:rPr>
                <w:rFonts w:cs="Arial"/>
                <w:b/>
                <w:color w:val="000000" w:themeColor="text1"/>
                <w:szCs w:val="16"/>
              </w:rPr>
              <w:t>2021</w:t>
            </w:r>
          </w:p>
        </w:tc>
      </w:tr>
      <w:tr w:rsidR="00ED172B" w:rsidRPr="00ED172B" w14:paraId="56A8F97B" w14:textId="64924B4E" w:rsidTr="00A40EE1">
        <w:trPr>
          <w:trHeight w:val="70"/>
        </w:trPr>
        <w:tc>
          <w:tcPr>
            <w:tcW w:w="500" w:type="pct"/>
            <w:tcBorders>
              <w:top w:val="single" w:sz="4" w:space="0" w:color="auto"/>
              <w:left w:val="single" w:sz="4" w:space="0" w:color="auto"/>
              <w:right w:val="single" w:sz="4" w:space="0" w:color="auto"/>
            </w:tcBorders>
            <w:shd w:val="clear" w:color="auto" w:fill="auto"/>
            <w:vAlign w:val="center"/>
          </w:tcPr>
          <w:p w14:paraId="3ABA9B1B"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A1</w:t>
            </w:r>
          </w:p>
        </w:tc>
        <w:tc>
          <w:tcPr>
            <w:tcW w:w="500" w:type="pct"/>
            <w:tcBorders>
              <w:top w:val="single" w:sz="4" w:space="0" w:color="auto"/>
              <w:left w:val="single" w:sz="4" w:space="0" w:color="auto"/>
              <w:right w:val="single" w:sz="4" w:space="0" w:color="auto"/>
            </w:tcBorders>
            <w:shd w:val="clear" w:color="auto" w:fill="auto"/>
          </w:tcPr>
          <w:p w14:paraId="6C9E9448" w14:textId="57CFAE14" w:rsidR="007F3393" w:rsidRPr="00ED172B" w:rsidRDefault="002F5A9E" w:rsidP="00027F39">
            <w:pPr>
              <w:jc w:val="center"/>
              <w:rPr>
                <w:color w:val="000000" w:themeColor="text1"/>
              </w:rPr>
            </w:pPr>
            <w:r w:rsidRPr="00ED172B">
              <w:rPr>
                <w:color w:val="000000" w:themeColor="text1"/>
              </w:rPr>
              <w:t>2013</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764E0C17" w14:textId="211050C8"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D3E35F5" w14:textId="0A5E6B48" w:rsidR="007F3393" w:rsidRPr="00ED172B" w:rsidRDefault="00860830" w:rsidP="00186420">
            <w:pPr>
              <w:jc w:val="center"/>
              <w:rPr>
                <w:rFonts w:cs="Arial"/>
                <w:color w:val="000000" w:themeColor="text1"/>
                <w:szCs w:val="16"/>
              </w:rPr>
            </w:pPr>
            <w:r w:rsidRPr="00ED172B">
              <w:rPr>
                <w:rFonts w:cs="Arial"/>
                <w:color w:val="000000" w:themeColor="text1"/>
                <w:szCs w:val="16"/>
              </w:rPr>
              <w:t>67.37%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9A9F38" w14:textId="09F7D1AD" w:rsidR="007F3393" w:rsidRPr="00ED172B" w:rsidRDefault="00860830" w:rsidP="00186420">
            <w:pPr>
              <w:jc w:val="center"/>
              <w:rPr>
                <w:rFonts w:cs="Arial"/>
                <w:color w:val="000000" w:themeColor="text1"/>
                <w:szCs w:val="16"/>
              </w:rPr>
            </w:pPr>
            <w:r w:rsidRPr="00ED172B">
              <w:rPr>
                <w:rFonts w:cs="Arial"/>
                <w:color w:val="000000" w:themeColor="text1"/>
                <w:szCs w:val="16"/>
              </w:rPr>
              <w:t>67.90%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7FCF2F2" w14:textId="0333A0D9" w:rsidR="007F3393" w:rsidRPr="00ED172B" w:rsidRDefault="00860830" w:rsidP="00186420">
            <w:pPr>
              <w:jc w:val="center"/>
              <w:rPr>
                <w:rFonts w:cs="Arial"/>
                <w:color w:val="000000" w:themeColor="text1"/>
                <w:szCs w:val="16"/>
              </w:rPr>
            </w:pPr>
            <w:r w:rsidRPr="00ED172B">
              <w:rPr>
                <w:rFonts w:cs="Arial"/>
                <w:color w:val="000000" w:themeColor="text1"/>
                <w:szCs w:val="16"/>
              </w:rPr>
              <w:t>67.90%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D77E4C" w14:textId="6EAE4922" w:rsidR="007F3393" w:rsidRPr="00ED172B" w:rsidRDefault="00860830" w:rsidP="00186420">
            <w:pPr>
              <w:jc w:val="center"/>
              <w:rPr>
                <w:rFonts w:cs="Arial"/>
                <w:color w:val="000000" w:themeColor="text1"/>
                <w:szCs w:val="16"/>
              </w:rPr>
            </w:pPr>
            <w:r w:rsidRPr="00ED172B">
              <w:rPr>
                <w:rFonts w:cs="Arial"/>
                <w:color w:val="000000" w:themeColor="text1"/>
                <w:szCs w:val="16"/>
              </w:rPr>
              <w:t>68.43%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B5FD670" w14:textId="2F388A90" w:rsidR="007F3393" w:rsidRPr="00ED172B" w:rsidRDefault="00860830" w:rsidP="00186420">
            <w:pPr>
              <w:jc w:val="center"/>
              <w:rPr>
                <w:rFonts w:cs="Arial"/>
                <w:color w:val="000000" w:themeColor="text1"/>
                <w:szCs w:val="16"/>
              </w:rPr>
            </w:pPr>
            <w:r w:rsidRPr="00ED172B">
              <w:rPr>
                <w:rFonts w:cs="Arial"/>
                <w:color w:val="000000" w:themeColor="text1"/>
                <w:szCs w:val="16"/>
              </w:rPr>
              <w:t>68.96%</w:t>
            </w:r>
          </w:p>
        </w:tc>
      </w:tr>
      <w:tr w:rsidR="00ED172B" w:rsidRPr="00ED172B" w14:paraId="0CFAE849" w14:textId="06B25E22" w:rsidTr="00A40EE1">
        <w:trPr>
          <w:trHeight w:val="70"/>
        </w:trPr>
        <w:tc>
          <w:tcPr>
            <w:tcW w:w="500" w:type="pct"/>
            <w:tcBorders>
              <w:left w:val="single" w:sz="4" w:space="0" w:color="auto"/>
              <w:right w:val="single" w:sz="4" w:space="0" w:color="auto"/>
            </w:tcBorders>
            <w:shd w:val="clear" w:color="auto" w:fill="auto"/>
            <w:vAlign w:val="center"/>
          </w:tcPr>
          <w:p w14:paraId="2B77B8BB" w14:textId="30D52AA3" w:rsidR="007F3393"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500" w:type="pct"/>
            <w:tcBorders>
              <w:left w:val="single" w:sz="4" w:space="0" w:color="auto"/>
              <w:right w:val="single" w:sz="4" w:space="0" w:color="auto"/>
            </w:tcBorders>
            <w:shd w:val="clear" w:color="auto" w:fill="auto"/>
          </w:tcPr>
          <w:p w14:paraId="3D9909C2" w14:textId="0A3AFD10" w:rsidR="007F3393" w:rsidRPr="00ED172B" w:rsidRDefault="002F5A9E" w:rsidP="00027F39">
            <w:pPr>
              <w:jc w:val="center"/>
              <w:rPr>
                <w:color w:val="000000" w:themeColor="text1"/>
              </w:rPr>
            </w:pPr>
            <w:r w:rsidRPr="00ED172B">
              <w:rPr>
                <w:color w:val="000000" w:themeColor="text1"/>
              </w:rPr>
              <w:t>65.25%</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5123D015" w14:textId="1AAB6D9E"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5AA2FDD" w14:textId="0DBF1FA9" w:rsidR="007F3393" w:rsidRPr="00ED172B" w:rsidRDefault="00860830" w:rsidP="00186420">
            <w:pPr>
              <w:jc w:val="center"/>
              <w:rPr>
                <w:rFonts w:cs="Arial"/>
                <w:color w:val="000000" w:themeColor="text1"/>
                <w:szCs w:val="16"/>
              </w:rPr>
            </w:pPr>
            <w:r w:rsidRPr="00ED172B">
              <w:rPr>
                <w:rFonts w:cs="Arial"/>
                <w:color w:val="000000" w:themeColor="text1"/>
                <w:szCs w:val="16"/>
              </w:rPr>
              <w:t>65.87%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811E938" w14:textId="20C0F99C" w:rsidR="007F3393" w:rsidRPr="00ED172B" w:rsidRDefault="00860830" w:rsidP="00186420">
            <w:pPr>
              <w:jc w:val="center"/>
              <w:rPr>
                <w:rFonts w:cs="Arial"/>
                <w:color w:val="000000" w:themeColor="text1"/>
                <w:szCs w:val="16"/>
              </w:rPr>
            </w:pPr>
            <w:r w:rsidRPr="00ED172B">
              <w:rPr>
                <w:rFonts w:cs="Arial"/>
                <w:color w:val="000000" w:themeColor="text1"/>
                <w:szCs w:val="16"/>
              </w:rPr>
              <w:t>65.86%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1006C1" w14:textId="4D74CF50" w:rsidR="007F3393" w:rsidRPr="00ED172B" w:rsidRDefault="00860830" w:rsidP="00186420">
            <w:pPr>
              <w:jc w:val="center"/>
              <w:rPr>
                <w:rFonts w:cs="Arial"/>
                <w:color w:val="000000" w:themeColor="text1"/>
                <w:szCs w:val="16"/>
              </w:rPr>
            </w:pPr>
            <w:r w:rsidRPr="00ED172B">
              <w:rPr>
                <w:rFonts w:cs="Arial"/>
                <w:color w:val="000000" w:themeColor="text1"/>
                <w:szCs w:val="16"/>
              </w:rPr>
              <w:t>69.84%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BED2AE" w14:textId="246E12F8" w:rsidR="007F3393" w:rsidRPr="00ED172B" w:rsidRDefault="00860830" w:rsidP="00186420">
            <w:pPr>
              <w:jc w:val="center"/>
              <w:rPr>
                <w:rFonts w:cs="Arial"/>
                <w:color w:val="000000" w:themeColor="text1"/>
                <w:szCs w:val="16"/>
              </w:rPr>
            </w:pPr>
            <w:r w:rsidRPr="00ED172B">
              <w:rPr>
                <w:rFonts w:cs="Arial"/>
                <w:color w:val="000000" w:themeColor="text1"/>
                <w:szCs w:val="16"/>
              </w:rPr>
              <w:t>74.43%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D1F0DB" w14:textId="2F1A59D5" w:rsidR="007F3393" w:rsidRPr="00ED172B" w:rsidRDefault="00860830" w:rsidP="00186420">
            <w:pPr>
              <w:jc w:val="center"/>
              <w:rPr>
                <w:rFonts w:cs="Arial"/>
                <w:color w:val="000000" w:themeColor="text1"/>
                <w:szCs w:val="16"/>
              </w:rPr>
            </w:pPr>
            <w:r w:rsidRPr="00ED172B">
              <w:rPr>
                <w:rFonts w:cs="Arial"/>
                <w:color w:val="000000" w:themeColor="text1"/>
                <w:szCs w:val="16"/>
              </w:rPr>
              <w:t>75.00%</w:t>
            </w:r>
          </w:p>
        </w:tc>
      </w:tr>
      <w:tr w:rsidR="00ED172B" w:rsidRPr="00ED172B" w14:paraId="71BE68E0" w14:textId="2811C55F" w:rsidTr="00A40EE1">
        <w:trPr>
          <w:trHeight w:val="70"/>
        </w:trPr>
        <w:tc>
          <w:tcPr>
            <w:tcW w:w="500" w:type="pct"/>
            <w:tcBorders>
              <w:top w:val="single" w:sz="4" w:space="0" w:color="auto"/>
              <w:left w:val="single" w:sz="4" w:space="0" w:color="auto"/>
              <w:right w:val="single" w:sz="4" w:space="0" w:color="auto"/>
            </w:tcBorders>
            <w:shd w:val="clear" w:color="auto" w:fill="auto"/>
            <w:vAlign w:val="center"/>
          </w:tcPr>
          <w:p w14:paraId="10ADF870"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A2</w:t>
            </w:r>
          </w:p>
        </w:tc>
        <w:tc>
          <w:tcPr>
            <w:tcW w:w="500" w:type="pct"/>
            <w:tcBorders>
              <w:top w:val="single" w:sz="4" w:space="0" w:color="auto"/>
              <w:left w:val="single" w:sz="4" w:space="0" w:color="auto"/>
              <w:right w:val="single" w:sz="4" w:space="0" w:color="auto"/>
            </w:tcBorders>
            <w:shd w:val="clear" w:color="auto" w:fill="auto"/>
          </w:tcPr>
          <w:p w14:paraId="43DACE92" w14:textId="5AD4B854" w:rsidR="007F3393" w:rsidRPr="00ED172B" w:rsidRDefault="001E39E3" w:rsidP="001E39E3">
            <w:pPr>
              <w:jc w:val="center"/>
              <w:rPr>
                <w:color w:val="000000" w:themeColor="text1"/>
              </w:rPr>
            </w:pPr>
            <w:r w:rsidRPr="00ED172B">
              <w:rPr>
                <w:color w:val="000000" w:themeColor="text1"/>
              </w:rPr>
              <w:t>2013</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6587C4F0" w14:textId="27288A29"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88FF7F" w14:textId="5949042F" w:rsidR="007F3393" w:rsidRPr="00ED172B" w:rsidRDefault="00860830" w:rsidP="00186420">
            <w:pPr>
              <w:jc w:val="center"/>
              <w:rPr>
                <w:rFonts w:cs="Arial"/>
                <w:color w:val="000000" w:themeColor="text1"/>
                <w:szCs w:val="16"/>
              </w:rPr>
            </w:pPr>
            <w:r w:rsidRPr="00ED172B">
              <w:rPr>
                <w:rFonts w:cs="Arial"/>
                <w:color w:val="000000" w:themeColor="text1"/>
                <w:szCs w:val="16"/>
              </w:rPr>
              <w:t>40.14%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48549B7" w14:textId="61326F3D" w:rsidR="007F3393" w:rsidRPr="00ED172B" w:rsidRDefault="00860830" w:rsidP="00186420">
            <w:pPr>
              <w:jc w:val="center"/>
              <w:rPr>
                <w:rFonts w:cs="Arial"/>
                <w:color w:val="000000" w:themeColor="text1"/>
                <w:szCs w:val="16"/>
              </w:rPr>
            </w:pPr>
            <w:r w:rsidRPr="00ED172B">
              <w:rPr>
                <w:rFonts w:cs="Arial"/>
                <w:color w:val="000000" w:themeColor="text1"/>
                <w:szCs w:val="16"/>
              </w:rPr>
              <w:t>40.14%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5C35A5C" w14:textId="66E27423" w:rsidR="007F3393" w:rsidRPr="00ED172B" w:rsidRDefault="00860830" w:rsidP="00186420">
            <w:pPr>
              <w:jc w:val="center"/>
              <w:rPr>
                <w:rFonts w:cs="Arial"/>
                <w:color w:val="000000" w:themeColor="text1"/>
                <w:szCs w:val="16"/>
              </w:rPr>
            </w:pPr>
            <w:r w:rsidRPr="00ED172B">
              <w:rPr>
                <w:rFonts w:cs="Arial"/>
                <w:color w:val="000000" w:themeColor="text1"/>
                <w:szCs w:val="16"/>
              </w:rPr>
              <w:t>40.14%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37ACAB9" w14:textId="188E6205" w:rsidR="007F3393" w:rsidRPr="00ED172B" w:rsidRDefault="00860830" w:rsidP="00186420">
            <w:pPr>
              <w:jc w:val="center"/>
              <w:rPr>
                <w:rFonts w:cs="Arial"/>
                <w:color w:val="000000" w:themeColor="text1"/>
                <w:szCs w:val="16"/>
              </w:rPr>
            </w:pPr>
            <w:r w:rsidRPr="00ED172B">
              <w:rPr>
                <w:rFonts w:cs="Arial"/>
                <w:color w:val="000000" w:themeColor="text1"/>
                <w:szCs w:val="16"/>
              </w:rPr>
              <w:t>40.24%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CCD8FBF" w14:textId="29532499" w:rsidR="007F3393" w:rsidRPr="00ED172B" w:rsidRDefault="00860830" w:rsidP="00186420">
            <w:pPr>
              <w:jc w:val="center"/>
              <w:rPr>
                <w:rFonts w:cs="Arial"/>
                <w:color w:val="000000" w:themeColor="text1"/>
                <w:szCs w:val="16"/>
              </w:rPr>
            </w:pPr>
            <w:r w:rsidRPr="00ED172B">
              <w:rPr>
                <w:rFonts w:cs="Arial"/>
                <w:color w:val="000000" w:themeColor="text1"/>
                <w:szCs w:val="16"/>
              </w:rPr>
              <w:t>40.24%</w:t>
            </w:r>
          </w:p>
        </w:tc>
      </w:tr>
      <w:tr w:rsidR="00ED172B" w:rsidRPr="00ED172B" w14:paraId="5FF383D1" w14:textId="0510821C" w:rsidTr="00A40EE1">
        <w:trPr>
          <w:trHeight w:val="85"/>
        </w:trPr>
        <w:tc>
          <w:tcPr>
            <w:tcW w:w="500" w:type="pct"/>
            <w:tcBorders>
              <w:left w:val="single" w:sz="4" w:space="0" w:color="auto"/>
              <w:right w:val="single" w:sz="4" w:space="0" w:color="auto"/>
            </w:tcBorders>
            <w:shd w:val="clear" w:color="auto" w:fill="auto"/>
            <w:vAlign w:val="center"/>
          </w:tcPr>
          <w:p w14:paraId="30CA4CFE" w14:textId="0ACEEEEE" w:rsidR="007F3393"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500" w:type="pct"/>
            <w:tcBorders>
              <w:left w:val="single" w:sz="4" w:space="0" w:color="auto"/>
              <w:right w:val="single" w:sz="4" w:space="0" w:color="auto"/>
            </w:tcBorders>
            <w:shd w:val="clear" w:color="auto" w:fill="auto"/>
          </w:tcPr>
          <w:p w14:paraId="1FF3C8CD" w14:textId="714FC585" w:rsidR="007F3393" w:rsidRPr="00ED172B" w:rsidRDefault="001E39E3" w:rsidP="001E39E3">
            <w:pPr>
              <w:jc w:val="center"/>
              <w:rPr>
                <w:color w:val="000000" w:themeColor="text1"/>
              </w:rPr>
            </w:pPr>
            <w:r w:rsidRPr="00ED172B">
              <w:rPr>
                <w:color w:val="000000" w:themeColor="text1"/>
              </w:rPr>
              <w:t>39.94%</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64108850" w14:textId="3C3387F6"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E9C5EF4" w14:textId="5AC20942" w:rsidR="007F3393" w:rsidRPr="00ED172B" w:rsidRDefault="00860830" w:rsidP="00186420">
            <w:pPr>
              <w:jc w:val="center"/>
              <w:rPr>
                <w:rFonts w:cs="Arial"/>
                <w:color w:val="000000" w:themeColor="text1"/>
                <w:szCs w:val="16"/>
              </w:rPr>
            </w:pPr>
            <w:r w:rsidRPr="00ED172B">
              <w:rPr>
                <w:rFonts w:cs="Arial"/>
                <w:color w:val="000000" w:themeColor="text1"/>
                <w:szCs w:val="16"/>
              </w:rPr>
              <w:t>42.86%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71C8240" w14:textId="0FC7F794" w:rsidR="007F3393" w:rsidRPr="00ED172B" w:rsidRDefault="00860830" w:rsidP="00186420">
            <w:pPr>
              <w:jc w:val="center"/>
              <w:rPr>
                <w:rFonts w:cs="Arial"/>
                <w:color w:val="000000" w:themeColor="text1"/>
                <w:szCs w:val="16"/>
              </w:rPr>
            </w:pPr>
            <w:r w:rsidRPr="00ED172B">
              <w:rPr>
                <w:rFonts w:cs="Arial"/>
                <w:color w:val="000000" w:themeColor="text1"/>
                <w:szCs w:val="16"/>
              </w:rPr>
              <w:t>38.48%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72A6DD1" w14:textId="74D9AD4B" w:rsidR="007F3393" w:rsidRPr="00ED172B" w:rsidRDefault="00860830" w:rsidP="00186420">
            <w:pPr>
              <w:jc w:val="center"/>
              <w:rPr>
                <w:rFonts w:cs="Arial"/>
                <w:color w:val="000000" w:themeColor="text1"/>
                <w:szCs w:val="16"/>
              </w:rPr>
            </w:pPr>
            <w:r w:rsidRPr="00ED172B">
              <w:rPr>
                <w:rFonts w:cs="Arial"/>
                <w:color w:val="000000" w:themeColor="text1"/>
                <w:szCs w:val="16"/>
              </w:rPr>
              <w:t>35.93%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14399EF" w14:textId="1090E311" w:rsidR="007F3393" w:rsidRPr="00ED172B" w:rsidRDefault="00860830" w:rsidP="00186420">
            <w:pPr>
              <w:jc w:val="center"/>
              <w:rPr>
                <w:rFonts w:cs="Arial"/>
                <w:color w:val="000000" w:themeColor="text1"/>
                <w:szCs w:val="16"/>
              </w:rPr>
            </w:pPr>
            <w:r w:rsidRPr="00ED172B">
              <w:rPr>
                <w:rFonts w:cs="Arial"/>
                <w:color w:val="000000" w:themeColor="text1"/>
                <w:szCs w:val="16"/>
              </w:rPr>
              <w:t>34.39%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55C18FA" w14:textId="07C7E8D6" w:rsidR="007F3393" w:rsidRPr="00ED172B" w:rsidRDefault="00860830" w:rsidP="00186420">
            <w:pPr>
              <w:jc w:val="center"/>
              <w:rPr>
                <w:rFonts w:cs="Arial"/>
                <w:color w:val="000000" w:themeColor="text1"/>
                <w:szCs w:val="16"/>
              </w:rPr>
            </w:pPr>
            <w:r w:rsidRPr="00ED172B">
              <w:rPr>
                <w:rFonts w:cs="Arial"/>
                <w:color w:val="000000" w:themeColor="text1"/>
                <w:szCs w:val="16"/>
              </w:rPr>
              <w:t>35.19%</w:t>
            </w:r>
          </w:p>
        </w:tc>
      </w:tr>
      <w:tr w:rsidR="00ED172B" w:rsidRPr="00ED172B" w14:paraId="2AA87AA8" w14:textId="1937207D" w:rsidTr="00A40EE1">
        <w:trPr>
          <w:trHeight w:val="85"/>
        </w:trPr>
        <w:tc>
          <w:tcPr>
            <w:tcW w:w="500" w:type="pct"/>
            <w:tcBorders>
              <w:left w:val="single" w:sz="4" w:space="0" w:color="auto"/>
              <w:right w:val="single" w:sz="4" w:space="0" w:color="auto"/>
            </w:tcBorders>
            <w:shd w:val="clear" w:color="auto" w:fill="auto"/>
            <w:vAlign w:val="center"/>
          </w:tcPr>
          <w:p w14:paraId="1C14C637"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shd w:val="clear" w:color="auto" w:fill="auto"/>
          </w:tcPr>
          <w:p w14:paraId="39588FDE" w14:textId="696ED364" w:rsidR="007F3393" w:rsidRPr="00ED172B" w:rsidRDefault="001E39E3" w:rsidP="001E39E3">
            <w:pPr>
              <w:jc w:val="center"/>
              <w:rPr>
                <w:color w:val="000000" w:themeColor="text1"/>
              </w:rPr>
            </w:pPr>
            <w:r w:rsidRPr="00ED172B">
              <w:rPr>
                <w:color w:val="000000" w:themeColor="text1"/>
              </w:rPr>
              <w:t>2013</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ACF33BD" w14:textId="75AFBFB2"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B55EE6B" w14:textId="7259FFC1" w:rsidR="007F3393" w:rsidRPr="00ED172B" w:rsidRDefault="00860830" w:rsidP="00186420">
            <w:pPr>
              <w:jc w:val="center"/>
              <w:rPr>
                <w:rFonts w:cs="Arial"/>
                <w:color w:val="000000" w:themeColor="text1"/>
                <w:szCs w:val="16"/>
              </w:rPr>
            </w:pPr>
            <w:r w:rsidRPr="00ED172B">
              <w:rPr>
                <w:rFonts w:cs="Arial"/>
                <w:color w:val="000000" w:themeColor="text1"/>
                <w:szCs w:val="16"/>
              </w:rPr>
              <w:t>71.96%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C51D3EF" w14:textId="01B58521" w:rsidR="007F3393" w:rsidRPr="00ED172B" w:rsidRDefault="00860830" w:rsidP="00186420">
            <w:pPr>
              <w:jc w:val="center"/>
              <w:rPr>
                <w:rFonts w:cs="Arial"/>
                <w:color w:val="000000" w:themeColor="text1"/>
                <w:szCs w:val="16"/>
              </w:rPr>
            </w:pPr>
            <w:r w:rsidRPr="00ED172B">
              <w:rPr>
                <w:rFonts w:cs="Arial"/>
                <w:color w:val="000000" w:themeColor="text1"/>
                <w:szCs w:val="16"/>
              </w:rPr>
              <w:t>71.96%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90FA9BB" w14:textId="2BC0F9C3" w:rsidR="007F3393" w:rsidRPr="00ED172B" w:rsidRDefault="00860830" w:rsidP="00186420">
            <w:pPr>
              <w:jc w:val="center"/>
              <w:rPr>
                <w:rFonts w:cs="Arial"/>
                <w:color w:val="000000" w:themeColor="text1"/>
                <w:szCs w:val="16"/>
              </w:rPr>
            </w:pPr>
            <w:r w:rsidRPr="00ED172B">
              <w:rPr>
                <w:rFonts w:cs="Arial"/>
                <w:color w:val="000000" w:themeColor="text1"/>
                <w:szCs w:val="16"/>
              </w:rPr>
              <w:t>71.96%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32E6D0" w14:textId="253A7F37" w:rsidR="007F3393" w:rsidRPr="00ED172B" w:rsidRDefault="00860830" w:rsidP="00186420">
            <w:pPr>
              <w:jc w:val="center"/>
              <w:rPr>
                <w:rFonts w:cs="Arial"/>
                <w:color w:val="000000" w:themeColor="text1"/>
                <w:szCs w:val="16"/>
              </w:rPr>
            </w:pPr>
            <w:r w:rsidRPr="00ED172B">
              <w:rPr>
                <w:rFonts w:cs="Arial"/>
                <w:color w:val="000000" w:themeColor="text1"/>
                <w:szCs w:val="16"/>
              </w:rPr>
              <w:t>72.06%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2E623F0" w14:textId="502F3580" w:rsidR="007F3393" w:rsidRPr="00ED172B" w:rsidRDefault="00860830" w:rsidP="00186420">
            <w:pPr>
              <w:jc w:val="center"/>
              <w:rPr>
                <w:rFonts w:cs="Arial"/>
                <w:color w:val="000000" w:themeColor="text1"/>
                <w:szCs w:val="16"/>
              </w:rPr>
            </w:pPr>
            <w:r w:rsidRPr="00ED172B">
              <w:rPr>
                <w:rFonts w:cs="Arial"/>
                <w:color w:val="000000" w:themeColor="text1"/>
                <w:szCs w:val="16"/>
              </w:rPr>
              <w:t>72.06%</w:t>
            </w:r>
          </w:p>
        </w:tc>
      </w:tr>
      <w:tr w:rsidR="00ED172B" w:rsidRPr="00ED172B" w14:paraId="4C672FEA" w14:textId="01FDA7CD" w:rsidTr="00A40EE1">
        <w:trPr>
          <w:trHeight w:val="85"/>
        </w:trPr>
        <w:tc>
          <w:tcPr>
            <w:tcW w:w="500" w:type="pct"/>
            <w:tcBorders>
              <w:left w:val="single" w:sz="4" w:space="0" w:color="auto"/>
              <w:right w:val="single" w:sz="4" w:space="0" w:color="auto"/>
            </w:tcBorders>
            <w:shd w:val="clear" w:color="auto" w:fill="auto"/>
            <w:vAlign w:val="center"/>
          </w:tcPr>
          <w:p w14:paraId="1C7640BF" w14:textId="7D0D37E0" w:rsidR="007F3393"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shd w:val="clear" w:color="auto" w:fill="auto"/>
          </w:tcPr>
          <w:p w14:paraId="69E33770" w14:textId="01EC7630" w:rsidR="007F3393" w:rsidRPr="00ED172B" w:rsidRDefault="001E39E3" w:rsidP="001E39E3">
            <w:pPr>
              <w:jc w:val="center"/>
              <w:rPr>
                <w:color w:val="000000" w:themeColor="text1"/>
              </w:rPr>
            </w:pPr>
            <w:r w:rsidRPr="00ED172B">
              <w:rPr>
                <w:color w:val="000000" w:themeColor="text1"/>
              </w:rPr>
              <w:t>70.76%</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32CC62D" w14:textId="1594007B"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0DCA9B4" w14:textId="6EA13EC7" w:rsidR="007F3393" w:rsidRPr="00ED172B" w:rsidRDefault="00860830" w:rsidP="00186420">
            <w:pPr>
              <w:jc w:val="center"/>
              <w:rPr>
                <w:rFonts w:cs="Arial"/>
                <w:color w:val="000000" w:themeColor="text1"/>
                <w:szCs w:val="16"/>
              </w:rPr>
            </w:pPr>
            <w:r w:rsidRPr="00ED172B">
              <w:rPr>
                <w:rFonts w:cs="Arial"/>
                <w:color w:val="000000" w:themeColor="text1"/>
                <w:szCs w:val="16"/>
              </w:rPr>
              <w:t>76.30%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517B1B9" w14:textId="7C2329EF" w:rsidR="007F3393" w:rsidRPr="00ED172B" w:rsidRDefault="00860830" w:rsidP="00186420">
            <w:pPr>
              <w:jc w:val="center"/>
              <w:rPr>
                <w:rFonts w:cs="Arial"/>
                <w:color w:val="000000" w:themeColor="text1"/>
                <w:szCs w:val="16"/>
              </w:rPr>
            </w:pPr>
            <w:r w:rsidRPr="00ED172B">
              <w:rPr>
                <w:rFonts w:cs="Arial"/>
                <w:color w:val="000000" w:themeColor="text1"/>
                <w:szCs w:val="16"/>
              </w:rPr>
              <w:t>74.05%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7435A57" w14:textId="3F8D5242" w:rsidR="007F3393" w:rsidRPr="00ED172B" w:rsidRDefault="00860830" w:rsidP="00186420">
            <w:pPr>
              <w:jc w:val="center"/>
              <w:rPr>
                <w:rFonts w:cs="Arial"/>
                <w:color w:val="000000" w:themeColor="text1"/>
                <w:szCs w:val="16"/>
              </w:rPr>
            </w:pPr>
            <w:r w:rsidRPr="00ED172B">
              <w:rPr>
                <w:rFonts w:cs="Arial"/>
                <w:color w:val="000000" w:themeColor="text1"/>
                <w:szCs w:val="16"/>
              </w:rPr>
              <w:t>65.64%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259B183" w14:textId="3A5E4139" w:rsidR="007F3393" w:rsidRPr="00ED172B" w:rsidRDefault="00860830" w:rsidP="00186420">
            <w:pPr>
              <w:jc w:val="center"/>
              <w:rPr>
                <w:rFonts w:cs="Arial"/>
                <w:color w:val="000000" w:themeColor="text1"/>
                <w:szCs w:val="16"/>
              </w:rPr>
            </w:pPr>
            <w:r w:rsidRPr="00ED172B">
              <w:rPr>
                <w:rFonts w:cs="Arial"/>
                <w:color w:val="000000" w:themeColor="text1"/>
                <w:szCs w:val="16"/>
              </w:rPr>
              <w:t>77.62%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B1B0F74" w14:textId="049E0D7D" w:rsidR="007F3393" w:rsidRPr="00ED172B" w:rsidRDefault="00860830" w:rsidP="00186420">
            <w:pPr>
              <w:jc w:val="center"/>
              <w:rPr>
                <w:rFonts w:cs="Arial"/>
                <w:color w:val="000000" w:themeColor="text1"/>
                <w:szCs w:val="16"/>
              </w:rPr>
            </w:pPr>
            <w:r w:rsidRPr="00ED172B">
              <w:rPr>
                <w:rFonts w:cs="Arial"/>
                <w:color w:val="000000" w:themeColor="text1"/>
                <w:szCs w:val="16"/>
              </w:rPr>
              <w:t>76.06%</w:t>
            </w:r>
          </w:p>
        </w:tc>
      </w:tr>
      <w:tr w:rsidR="00ED172B" w:rsidRPr="00ED172B" w14:paraId="0CF579FA" w14:textId="582CC6E2" w:rsidTr="00A40EE1">
        <w:trPr>
          <w:trHeight w:val="85"/>
        </w:trPr>
        <w:tc>
          <w:tcPr>
            <w:tcW w:w="500" w:type="pct"/>
            <w:tcBorders>
              <w:left w:val="single" w:sz="4" w:space="0" w:color="auto"/>
              <w:right w:val="single" w:sz="4" w:space="0" w:color="auto"/>
            </w:tcBorders>
            <w:shd w:val="clear" w:color="auto" w:fill="auto"/>
            <w:vAlign w:val="center"/>
          </w:tcPr>
          <w:p w14:paraId="2DA5EF76"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shd w:val="clear" w:color="auto" w:fill="auto"/>
          </w:tcPr>
          <w:p w14:paraId="49171D03" w14:textId="1C5F6C63" w:rsidR="007F3393" w:rsidRPr="00ED172B" w:rsidRDefault="001E39E3" w:rsidP="001E39E3">
            <w:pPr>
              <w:jc w:val="center"/>
              <w:rPr>
                <w:color w:val="000000" w:themeColor="text1"/>
              </w:rPr>
            </w:pPr>
            <w:r w:rsidRPr="00ED172B">
              <w:rPr>
                <w:color w:val="000000" w:themeColor="text1"/>
              </w:rPr>
              <w:t>2013</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6A9A63F" w14:textId="3E244525"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16F7C03" w14:textId="107D6786" w:rsidR="007F3393" w:rsidRPr="00ED172B" w:rsidRDefault="00860830" w:rsidP="00186420">
            <w:pPr>
              <w:jc w:val="center"/>
              <w:rPr>
                <w:rFonts w:cs="Arial"/>
                <w:color w:val="000000" w:themeColor="text1"/>
                <w:szCs w:val="16"/>
              </w:rPr>
            </w:pPr>
            <w:r w:rsidRPr="00ED172B">
              <w:rPr>
                <w:rFonts w:cs="Arial"/>
                <w:color w:val="000000" w:themeColor="text1"/>
                <w:szCs w:val="16"/>
              </w:rPr>
              <w:t>38.44%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3A375D4" w14:textId="35F9334E" w:rsidR="007F3393" w:rsidRPr="00ED172B" w:rsidRDefault="00860830" w:rsidP="00186420">
            <w:pPr>
              <w:jc w:val="center"/>
              <w:rPr>
                <w:rFonts w:cs="Arial"/>
                <w:color w:val="000000" w:themeColor="text1"/>
                <w:szCs w:val="16"/>
              </w:rPr>
            </w:pPr>
            <w:r w:rsidRPr="00ED172B">
              <w:rPr>
                <w:rFonts w:cs="Arial"/>
                <w:color w:val="000000" w:themeColor="text1"/>
                <w:szCs w:val="16"/>
              </w:rPr>
              <w:t>38.44%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C17F268" w14:textId="343216F2" w:rsidR="007F3393" w:rsidRPr="00ED172B" w:rsidRDefault="00860830" w:rsidP="00186420">
            <w:pPr>
              <w:jc w:val="center"/>
              <w:rPr>
                <w:rFonts w:cs="Arial"/>
                <w:color w:val="000000" w:themeColor="text1"/>
                <w:szCs w:val="16"/>
              </w:rPr>
            </w:pPr>
            <w:r w:rsidRPr="00ED172B">
              <w:rPr>
                <w:rFonts w:cs="Arial"/>
                <w:color w:val="000000" w:themeColor="text1"/>
                <w:szCs w:val="16"/>
              </w:rPr>
              <w:t>38.44%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B0ACA2E" w14:textId="00A71311" w:rsidR="007F3393" w:rsidRPr="00ED172B" w:rsidRDefault="00860830" w:rsidP="00186420">
            <w:pPr>
              <w:jc w:val="center"/>
              <w:rPr>
                <w:rFonts w:cs="Arial"/>
                <w:color w:val="000000" w:themeColor="text1"/>
                <w:szCs w:val="16"/>
              </w:rPr>
            </w:pPr>
            <w:r w:rsidRPr="00ED172B">
              <w:rPr>
                <w:rFonts w:cs="Arial"/>
                <w:color w:val="000000" w:themeColor="text1"/>
                <w:szCs w:val="16"/>
              </w:rPr>
              <w:t>38.54%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D6B2AE" w14:textId="24931BCA" w:rsidR="007F3393" w:rsidRPr="00ED172B" w:rsidRDefault="00860830" w:rsidP="00186420">
            <w:pPr>
              <w:jc w:val="center"/>
              <w:rPr>
                <w:rFonts w:cs="Arial"/>
                <w:color w:val="000000" w:themeColor="text1"/>
                <w:szCs w:val="16"/>
              </w:rPr>
            </w:pPr>
            <w:r w:rsidRPr="00ED172B">
              <w:rPr>
                <w:rFonts w:cs="Arial"/>
                <w:color w:val="000000" w:themeColor="text1"/>
                <w:szCs w:val="16"/>
              </w:rPr>
              <w:t>38.54%</w:t>
            </w:r>
          </w:p>
        </w:tc>
      </w:tr>
      <w:tr w:rsidR="00ED172B" w:rsidRPr="00ED172B" w14:paraId="0819AD9E" w14:textId="6F918A3C" w:rsidTr="00A40EE1">
        <w:trPr>
          <w:trHeight w:val="85"/>
        </w:trPr>
        <w:tc>
          <w:tcPr>
            <w:tcW w:w="500" w:type="pct"/>
            <w:tcBorders>
              <w:left w:val="single" w:sz="4" w:space="0" w:color="auto"/>
              <w:right w:val="single" w:sz="4" w:space="0" w:color="auto"/>
            </w:tcBorders>
            <w:shd w:val="clear" w:color="auto" w:fill="auto"/>
            <w:vAlign w:val="center"/>
          </w:tcPr>
          <w:p w14:paraId="40551B1A" w14:textId="5C8972CA" w:rsidR="007F3393"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shd w:val="clear" w:color="auto" w:fill="auto"/>
          </w:tcPr>
          <w:p w14:paraId="01909DF8" w14:textId="793CE1CD" w:rsidR="007F3393" w:rsidRPr="00ED172B" w:rsidRDefault="001E39E3" w:rsidP="001E39E3">
            <w:pPr>
              <w:jc w:val="center"/>
              <w:rPr>
                <w:color w:val="000000" w:themeColor="text1"/>
              </w:rPr>
            </w:pPr>
            <w:r w:rsidRPr="00ED172B">
              <w:rPr>
                <w:color w:val="000000" w:themeColor="text1"/>
              </w:rPr>
              <w:t>38.24%</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71211AB" w14:textId="16C0E7FD"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993F2E" w14:textId="7B3662A2" w:rsidR="007F3393" w:rsidRPr="00ED172B" w:rsidRDefault="00860830" w:rsidP="00186420">
            <w:pPr>
              <w:jc w:val="center"/>
              <w:rPr>
                <w:rFonts w:cs="Arial"/>
                <w:color w:val="000000" w:themeColor="text1"/>
                <w:szCs w:val="16"/>
              </w:rPr>
            </w:pPr>
            <w:r w:rsidRPr="00ED172B">
              <w:rPr>
                <w:rFonts w:cs="Arial"/>
                <w:color w:val="000000" w:themeColor="text1"/>
                <w:szCs w:val="16"/>
              </w:rPr>
              <w:t>39.59%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3A1E9C9" w14:textId="02A0C2DE" w:rsidR="007F3393" w:rsidRPr="00ED172B" w:rsidRDefault="00860830" w:rsidP="00186420">
            <w:pPr>
              <w:jc w:val="center"/>
              <w:rPr>
                <w:rFonts w:cs="Arial"/>
                <w:color w:val="000000" w:themeColor="text1"/>
                <w:szCs w:val="16"/>
              </w:rPr>
            </w:pPr>
            <w:r w:rsidRPr="00ED172B">
              <w:rPr>
                <w:rFonts w:cs="Arial"/>
                <w:color w:val="000000" w:themeColor="text1"/>
                <w:szCs w:val="16"/>
              </w:rPr>
              <w:t>35.02%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AF85751" w14:textId="4BF87C6F" w:rsidR="007F3393" w:rsidRPr="00ED172B" w:rsidRDefault="00860830" w:rsidP="00186420">
            <w:pPr>
              <w:jc w:val="center"/>
              <w:rPr>
                <w:rFonts w:cs="Arial"/>
                <w:color w:val="000000" w:themeColor="text1"/>
                <w:szCs w:val="16"/>
              </w:rPr>
            </w:pPr>
            <w:r w:rsidRPr="00ED172B">
              <w:rPr>
                <w:rFonts w:cs="Arial"/>
                <w:color w:val="000000" w:themeColor="text1"/>
                <w:szCs w:val="16"/>
              </w:rPr>
              <w:t>33.07%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78159E0" w14:textId="76181F6C" w:rsidR="007F3393" w:rsidRPr="00ED172B" w:rsidRDefault="00860830" w:rsidP="00186420">
            <w:pPr>
              <w:jc w:val="center"/>
              <w:rPr>
                <w:rFonts w:cs="Arial"/>
                <w:color w:val="000000" w:themeColor="text1"/>
                <w:szCs w:val="16"/>
              </w:rPr>
            </w:pPr>
            <w:r w:rsidRPr="00ED172B">
              <w:rPr>
                <w:rFonts w:cs="Arial"/>
                <w:color w:val="000000" w:themeColor="text1"/>
                <w:szCs w:val="16"/>
              </w:rPr>
              <w:t>33.53%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711582" w14:textId="71938F4C" w:rsidR="007F3393" w:rsidRPr="00ED172B" w:rsidRDefault="00860830" w:rsidP="00186420">
            <w:pPr>
              <w:jc w:val="center"/>
              <w:rPr>
                <w:rFonts w:cs="Arial"/>
                <w:color w:val="000000" w:themeColor="text1"/>
                <w:szCs w:val="16"/>
              </w:rPr>
            </w:pPr>
            <w:r w:rsidRPr="00ED172B">
              <w:rPr>
                <w:rFonts w:cs="Arial"/>
                <w:color w:val="000000" w:themeColor="text1"/>
                <w:szCs w:val="16"/>
              </w:rPr>
              <w:t>33.87%</w:t>
            </w:r>
          </w:p>
        </w:tc>
      </w:tr>
      <w:tr w:rsidR="00ED172B" w:rsidRPr="00ED172B" w14:paraId="2558149F" w14:textId="365303DA" w:rsidTr="00A40EE1">
        <w:trPr>
          <w:trHeight w:val="85"/>
        </w:trPr>
        <w:tc>
          <w:tcPr>
            <w:tcW w:w="500" w:type="pct"/>
            <w:tcBorders>
              <w:left w:val="single" w:sz="4" w:space="0" w:color="auto"/>
              <w:right w:val="single" w:sz="4" w:space="0" w:color="auto"/>
            </w:tcBorders>
            <w:shd w:val="clear" w:color="auto" w:fill="auto"/>
            <w:vAlign w:val="center"/>
          </w:tcPr>
          <w:p w14:paraId="5C263B12"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shd w:val="clear" w:color="auto" w:fill="auto"/>
          </w:tcPr>
          <w:p w14:paraId="0514DA1F" w14:textId="742A8474" w:rsidR="007F3393" w:rsidRPr="00ED172B" w:rsidRDefault="005C14C2" w:rsidP="005C14C2">
            <w:pPr>
              <w:jc w:val="center"/>
              <w:rPr>
                <w:color w:val="000000" w:themeColor="text1"/>
              </w:rPr>
            </w:pPr>
            <w:r w:rsidRPr="00ED172B">
              <w:rPr>
                <w:color w:val="000000" w:themeColor="text1"/>
              </w:rPr>
              <w:t>2013</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5B18FC00" w14:textId="3A9DD918"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34EE947" w14:textId="549E4259" w:rsidR="007F3393" w:rsidRPr="00ED172B" w:rsidRDefault="00860830" w:rsidP="00186420">
            <w:pPr>
              <w:jc w:val="center"/>
              <w:rPr>
                <w:rFonts w:cs="Arial"/>
                <w:color w:val="000000" w:themeColor="text1"/>
                <w:szCs w:val="16"/>
              </w:rPr>
            </w:pPr>
            <w:r w:rsidRPr="00ED172B">
              <w:rPr>
                <w:rFonts w:cs="Arial"/>
                <w:color w:val="000000" w:themeColor="text1"/>
                <w:szCs w:val="16"/>
              </w:rPr>
              <w:t>66.28%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1A22466" w14:textId="56644392" w:rsidR="007F3393" w:rsidRPr="00ED172B" w:rsidRDefault="00860830" w:rsidP="00186420">
            <w:pPr>
              <w:jc w:val="center"/>
              <w:rPr>
                <w:rFonts w:cs="Arial"/>
                <w:color w:val="000000" w:themeColor="text1"/>
                <w:szCs w:val="16"/>
              </w:rPr>
            </w:pPr>
            <w:r w:rsidRPr="00ED172B">
              <w:rPr>
                <w:rFonts w:cs="Arial"/>
                <w:color w:val="000000" w:themeColor="text1"/>
                <w:szCs w:val="16"/>
              </w:rPr>
              <w:t>66.28%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42B6B08" w14:textId="5F811FD0" w:rsidR="007F3393" w:rsidRPr="00ED172B" w:rsidRDefault="00860830" w:rsidP="00186420">
            <w:pPr>
              <w:jc w:val="center"/>
              <w:rPr>
                <w:rFonts w:cs="Arial"/>
                <w:color w:val="000000" w:themeColor="text1"/>
                <w:szCs w:val="16"/>
              </w:rPr>
            </w:pPr>
            <w:r w:rsidRPr="00ED172B">
              <w:rPr>
                <w:rFonts w:cs="Arial"/>
                <w:color w:val="000000" w:themeColor="text1"/>
                <w:szCs w:val="16"/>
              </w:rPr>
              <w:t>66.28%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A11B7B" w14:textId="77AE5E5A" w:rsidR="007F3393" w:rsidRPr="00ED172B" w:rsidRDefault="00860830" w:rsidP="00186420">
            <w:pPr>
              <w:jc w:val="center"/>
              <w:rPr>
                <w:rFonts w:cs="Arial"/>
                <w:color w:val="000000" w:themeColor="text1"/>
                <w:szCs w:val="16"/>
              </w:rPr>
            </w:pPr>
            <w:r w:rsidRPr="00ED172B">
              <w:rPr>
                <w:rFonts w:cs="Arial"/>
                <w:color w:val="000000" w:themeColor="text1"/>
                <w:szCs w:val="16"/>
              </w:rPr>
              <w:t>66.38%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9C7A40E" w14:textId="7766A332" w:rsidR="007F3393" w:rsidRPr="00ED172B" w:rsidRDefault="00860830" w:rsidP="00186420">
            <w:pPr>
              <w:jc w:val="center"/>
              <w:rPr>
                <w:rFonts w:cs="Arial"/>
                <w:color w:val="000000" w:themeColor="text1"/>
                <w:szCs w:val="16"/>
              </w:rPr>
            </w:pPr>
            <w:r w:rsidRPr="00ED172B">
              <w:rPr>
                <w:rFonts w:cs="Arial"/>
                <w:color w:val="000000" w:themeColor="text1"/>
                <w:szCs w:val="16"/>
              </w:rPr>
              <w:t>66.38%</w:t>
            </w:r>
          </w:p>
        </w:tc>
      </w:tr>
      <w:tr w:rsidR="00ED172B" w:rsidRPr="00ED172B" w14:paraId="7E8097AB" w14:textId="6AED691A" w:rsidTr="00A40EE1">
        <w:trPr>
          <w:trHeight w:val="85"/>
        </w:trPr>
        <w:tc>
          <w:tcPr>
            <w:tcW w:w="500" w:type="pct"/>
            <w:tcBorders>
              <w:left w:val="single" w:sz="4" w:space="0" w:color="auto"/>
              <w:right w:val="single" w:sz="4" w:space="0" w:color="auto"/>
            </w:tcBorders>
            <w:shd w:val="clear" w:color="auto" w:fill="auto"/>
            <w:vAlign w:val="center"/>
          </w:tcPr>
          <w:p w14:paraId="3F1BEAB5" w14:textId="12597FC2" w:rsidR="007F3393"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shd w:val="clear" w:color="auto" w:fill="auto"/>
          </w:tcPr>
          <w:p w14:paraId="0ABF02F2" w14:textId="643EB7D5" w:rsidR="007F3393" w:rsidRPr="00ED172B" w:rsidRDefault="005C14C2" w:rsidP="005C14C2">
            <w:pPr>
              <w:jc w:val="center"/>
              <w:rPr>
                <w:color w:val="000000" w:themeColor="text1"/>
              </w:rPr>
            </w:pPr>
            <w:r w:rsidRPr="00ED172B">
              <w:rPr>
                <w:color w:val="000000" w:themeColor="text1"/>
              </w:rPr>
              <w:t>66.08%</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6BBE2D9" w14:textId="0C00836F"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52F9C01" w14:textId="16C2CF9B" w:rsidR="007F3393" w:rsidRPr="00ED172B" w:rsidRDefault="00860830" w:rsidP="00186420">
            <w:pPr>
              <w:jc w:val="center"/>
              <w:rPr>
                <w:rFonts w:cs="Arial"/>
                <w:color w:val="000000" w:themeColor="text1"/>
                <w:szCs w:val="16"/>
              </w:rPr>
            </w:pPr>
            <w:r w:rsidRPr="00ED172B">
              <w:rPr>
                <w:rFonts w:cs="Arial"/>
                <w:color w:val="000000" w:themeColor="text1"/>
                <w:szCs w:val="16"/>
              </w:rPr>
              <w:t>74.12%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E43FA2F" w14:textId="70AEBF5C" w:rsidR="007F3393" w:rsidRPr="00ED172B" w:rsidRDefault="00860830" w:rsidP="00186420">
            <w:pPr>
              <w:jc w:val="center"/>
              <w:rPr>
                <w:rFonts w:cs="Arial"/>
                <w:color w:val="000000" w:themeColor="text1"/>
                <w:szCs w:val="16"/>
              </w:rPr>
            </w:pPr>
            <w:r w:rsidRPr="00ED172B">
              <w:rPr>
                <w:rFonts w:cs="Arial"/>
                <w:color w:val="000000" w:themeColor="text1"/>
                <w:szCs w:val="16"/>
              </w:rPr>
              <w:t>72.13%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FAA33F8" w14:textId="6896E2C5" w:rsidR="007F3393" w:rsidRPr="00ED172B" w:rsidRDefault="00860830" w:rsidP="00186420">
            <w:pPr>
              <w:jc w:val="center"/>
              <w:rPr>
                <w:rFonts w:cs="Arial"/>
                <w:color w:val="000000" w:themeColor="text1"/>
                <w:szCs w:val="16"/>
              </w:rPr>
            </w:pPr>
            <w:r w:rsidRPr="00ED172B">
              <w:rPr>
                <w:rFonts w:cs="Arial"/>
                <w:color w:val="000000" w:themeColor="text1"/>
                <w:szCs w:val="16"/>
              </w:rPr>
              <w:t>72.85%</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24AF07B" w14:textId="67E33A4F" w:rsidR="007F3393" w:rsidRPr="00ED172B" w:rsidRDefault="00860830" w:rsidP="00186420">
            <w:pPr>
              <w:jc w:val="center"/>
              <w:rPr>
                <w:rFonts w:cs="Arial"/>
                <w:color w:val="000000" w:themeColor="text1"/>
                <w:szCs w:val="16"/>
              </w:rPr>
            </w:pPr>
            <w:r w:rsidRPr="00ED172B">
              <w:rPr>
                <w:rFonts w:cs="Arial"/>
                <w:color w:val="000000" w:themeColor="text1"/>
                <w:szCs w:val="16"/>
              </w:rPr>
              <w:t>77.69%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0E5F73E" w14:textId="3A174FE7" w:rsidR="007F3393" w:rsidRPr="00ED172B" w:rsidRDefault="00860830" w:rsidP="00186420">
            <w:pPr>
              <w:jc w:val="center"/>
              <w:rPr>
                <w:rFonts w:cs="Arial"/>
                <w:color w:val="000000" w:themeColor="text1"/>
                <w:szCs w:val="16"/>
              </w:rPr>
            </w:pPr>
            <w:r w:rsidRPr="00ED172B">
              <w:rPr>
                <w:rFonts w:cs="Arial"/>
                <w:color w:val="000000" w:themeColor="text1"/>
                <w:szCs w:val="16"/>
              </w:rPr>
              <w:t>75.85%</w:t>
            </w:r>
          </w:p>
        </w:tc>
      </w:tr>
      <w:tr w:rsidR="00ED172B" w:rsidRPr="00ED172B" w14:paraId="6FC9AE83" w14:textId="014AD57A" w:rsidTr="00A40EE1">
        <w:trPr>
          <w:trHeight w:val="85"/>
        </w:trPr>
        <w:tc>
          <w:tcPr>
            <w:tcW w:w="500" w:type="pct"/>
            <w:tcBorders>
              <w:left w:val="single" w:sz="4" w:space="0" w:color="auto"/>
              <w:right w:val="single" w:sz="4" w:space="0" w:color="auto"/>
            </w:tcBorders>
            <w:shd w:val="clear" w:color="auto" w:fill="auto"/>
            <w:vAlign w:val="center"/>
          </w:tcPr>
          <w:p w14:paraId="26477C00"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shd w:val="clear" w:color="auto" w:fill="auto"/>
          </w:tcPr>
          <w:p w14:paraId="32CA0D86" w14:textId="7D347F75" w:rsidR="007F3393" w:rsidRPr="00ED172B" w:rsidRDefault="005C14C2" w:rsidP="005C14C2">
            <w:pPr>
              <w:jc w:val="center"/>
              <w:rPr>
                <w:color w:val="000000" w:themeColor="text1"/>
              </w:rPr>
            </w:pPr>
            <w:r w:rsidRPr="00ED172B">
              <w:rPr>
                <w:color w:val="000000" w:themeColor="text1"/>
              </w:rPr>
              <w:t>2013</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C67610F" w14:textId="378FA2C9"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A378A83" w14:textId="1C64C8F8" w:rsidR="007F3393" w:rsidRPr="00ED172B" w:rsidRDefault="00860830" w:rsidP="00186420">
            <w:pPr>
              <w:jc w:val="center"/>
              <w:rPr>
                <w:rFonts w:cs="Arial"/>
                <w:color w:val="000000" w:themeColor="text1"/>
                <w:szCs w:val="16"/>
              </w:rPr>
            </w:pPr>
            <w:r w:rsidRPr="00ED172B">
              <w:rPr>
                <w:rFonts w:cs="Arial"/>
                <w:color w:val="000000" w:themeColor="text1"/>
                <w:szCs w:val="16"/>
              </w:rPr>
              <w:t>41.90%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09DE95A" w14:textId="617EA4AA" w:rsidR="007F3393" w:rsidRPr="00ED172B" w:rsidRDefault="00860830" w:rsidP="00186420">
            <w:pPr>
              <w:jc w:val="center"/>
              <w:rPr>
                <w:rFonts w:cs="Arial"/>
                <w:color w:val="000000" w:themeColor="text1"/>
                <w:szCs w:val="16"/>
              </w:rPr>
            </w:pPr>
            <w:r w:rsidRPr="00ED172B">
              <w:rPr>
                <w:rFonts w:cs="Arial"/>
                <w:color w:val="000000" w:themeColor="text1"/>
                <w:szCs w:val="16"/>
              </w:rPr>
              <w:t>41.90%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D3729DD" w14:textId="527FEE0A" w:rsidR="007F3393" w:rsidRPr="00ED172B" w:rsidRDefault="00860830" w:rsidP="00186420">
            <w:pPr>
              <w:jc w:val="center"/>
              <w:rPr>
                <w:rFonts w:cs="Arial"/>
                <w:color w:val="000000" w:themeColor="text1"/>
                <w:szCs w:val="16"/>
              </w:rPr>
            </w:pPr>
            <w:r w:rsidRPr="00ED172B">
              <w:rPr>
                <w:rFonts w:cs="Arial"/>
                <w:color w:val="000000" w:themeColor="text1"/>
                <w:szCs w:val="16"/>
              </w:rPr>
              <w:t>41.90%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D67B97E" w14:textId="10DBDF23" w:rsidR="007F3393" w:rsidRPr="00ED172B" w:rsidRDefault="00860830" w:rsidP="00186420">
            <w:pPr>
              <w:jc w:val="center"/>
              <w:rPr>
                <w:rFonts w:cs="Arial"/>
                <w:color w:val="000000" w:themeColor="text1"/>
                <w:szCs w:val="16"/>
              </w:rPr>
            </w:pPr>
            <w:r w:rsidRPr="00ED172B">
              <w:rPr>
                <w:rFonts w:cs="Arial"/>
                <w:color w:val="000000" w:themeColor="text1"/>
                <w:szCs w:val="16"/>
              </w:rPr>
              <w:t>42.00%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EEC5588" w14:textId="5E0BEB99" w:rsidR="007F3393" w:rsidRPr="00ED172B" w:rsidRDefault="00860830" w:rsidP="00186420">
            <w:pPr>
              <w:jc w:val="center"/>
              <w:rPr>
                <w:rFonts w:cs="Arial"/>
                <w:color w:val="000000" w:themeColor="text1"/>
                <w:szCs w:val="16"/>
              </w:rPr>
            </w:pPr>
            <w:r w:rsidRPr="00ED172B">
              <w:rPr>
                <w:rFonts w:cs="Arial"/>
                <w:color w:val="000000" w:themeColor="text1"/>
                <w:szCs w:val="16"/>
              </w:rPr>
              <w:t>42.00%</w:t>
            </w:r>
          </w:p>
        </w:tc>
      </w:tr>
      <w:tr w:rsidR="00ED172B" w:rsidRPr="00ED172B" w14:paraId="1132C60F" w14:textId="3B99FC54" w:rsidTr="00A40EE1">
        <w:trPr>
          <w:trHeight w:val="85"/>
        </w:trPr>
        <w:tc>
          <w:tcPr>
            <w:tcW w:w="500" w:type="pct"/>
            <w:tcBorders>
              <w:left w:val="single" w:sz="4" w:space="0" w:color="auto"/>
              <w:right w:val="single" w:sz="4" w:space="0" w:color="auto"/>
            </w:tcBorders>
            <w:shd w:val="clear" w:color="auto" w:fill="auto"/>
            <w:vAlign w:val="center"/>
          </w:tcPr>
          <w:p w14:paraId="2738B926" w14:textId="68F9E66E" w:rsidR="007F3393"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shd w:val="clear" w:color="auto" w:fill="auto"/>
          </w:tcPr>
          <w:p w14:paraId="1644268A" w14:textId="682CF9A3" w:rsidR="007F3393" w:rsidRPr="00ED172B" w:rsidRDefault="005C14C2" w:rsidP="005C14C2">
            <w:pPr>
              <w:jc w:val="center"/>
              <w:rPr>
                <w:color w:val="000000" w:themeColor="text1"/>
              </w:rPr>
            </w:pPr>
            <w:r w:rsidRPr="00ED172B">
              <w:rPr>
                <w:color w:val="000000" w:themeColor="text1"/>
              </w:rPr>
              <w:t>41.70%</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1C26CB8" w14:textId="0C759790"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7B12058" w14:textId="4C62C3D2" w:rsidR="007F3393" w:rsidRPr="00ED172B" w:rsidRDefault="00860830" w:rsidP="00186420">
            <w:pPr>
              <w:jc w:val="center"/>
              <w:rPr>
                <w:rFonts w:cs="Arial"/>
                <w:color w:val="000000" w:themeColor="text1"/>
                <w:szCs w:val="16"/>
              </w:rPr>
            </w:pPr>
            <w:r w:rsidRPr="00ED172B">
              <w:rPr>
                <w:rFonts w:cs="Arial"/>
                <w:color w:val="000000" w:themeColor="text1"/>
                <w:szCs w:val="16"/>
              </w:rPr>
              <w:t>47.71%</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7B2A5FF" w14:textId="701B9A2C" w:rsidR="007F3393" w:rsidRPr="00ED172B" w:rsidRDefault="00860830" w:rsidP="00186420">
            <w:pPr>
              <w:jc w:val="center"/>
              <w:rPr>
                <w:rFonts w:cs="Arial"/>
                <w:color w:val="000000" w:themeColor="text1"/>
                <w:szCs w:val="16"/>
              </w:rPr>
            </w:pPr>
            <w:r w:rsidRPr="00ED172B">
              <w:rPr>
                <w:rFonts w:cs="Arial"/>
                <w:color w:val="000000" w:themeColor="text1"/>
                <w:szCs w:val="16"/>
              </w:rPr>
              <w:t>41.42%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3ED086" w14:textId="25E0E808" w:rsidR="007F3393" w:rsidRPr="00ED172B" w:rsidRDefault="00860830" w:rsidP="00186420">
            <w:pPr>
              <w:jc w:val="center"/>
              <w:rPr>
                <w:rFonts w:cs="Arial"/>
                <w:color w:val="000000" w:themeColor="text1"/>
                <w:szCs w:val="16"/>
              </w:rPr>
            </w:pPr>
            <w:r w:rsidRPr="00ED172B">
              <w:rPr>
                <w:rFonts w:cs="Arial"/>
                <w:color w:val="000000" w:themeColor="text1"/>
                <w:szCs w:val="16"/>
              </w:rPr>
              <w:t>40.96%</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E979001" w14:textId="633DD3D6" w:rsidR="007F3393" w:rsidRPr="00ED172B" w:rsidRDefault="00860830" w:rsidP="00186420">
            <w:pPr>
              <w:jc w:val="center"/>
              <w:rPr>
                <w:rFonts w:cs="Arial"/>
                <w:color w:val="000000" w:themeColor="text1"/>
                <w:szCs w:val="16"/>
              </w:rPr>
            </w:pPr>
            <w:r w:rsidRPr="00ED172B">
              <w:rPr>
                <w:rFonts w:cs="Arial"/>
                <w:color w:val="000000" w:themeColor="text1"/>
                <w:szCs w:val="16"/>
              </w:rPr>
              <w:t>37.38%</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D71F128" w14:textId="25D88B13" w:rsidR="007F3393" w:rsidRPr="00ED172B" w:rsidRDefault="00860830" w:rsidP="00186420">
            <w:pPr>
              <w:jc w:val="center"/>
              <w:rPr>
                <w:rFonts w:cs="Arial"/>
                <w:color w:val="000000" w:themeColor="text1"/>
                <w:szCs w:val="16"/>
              </w:rPr>
            </w:pPr>
            <w:r w:rsidRPr="00ED172B">
              <w:rPr>
                <w:rFonts w:cs="Arial"/>
                <w:color w:val="000000" w:themeColor="text1"/>
                <w:szCs w:val="16"/>
              </w:rPr>
              <w:t>37.79%</w:t>
            </w:r>
          </w:p>
        </w:tc>
      </w:tr>
    </w:tbl>
    <w:p w14:paraId="63E4EB1D" w14:textId="568C1094" w:rsidR="005F4279" w:rsidRPr="00ED172B" w:rsidRDefault="005F4279">
      <w:pPr>
        <w:rPr>
          <w:b/>
          <w:color w:val="000000" w:themeColor="text1"/>
        </w:rPr>
      </w:pPr>
      <w:r w:rsidRPr="00ED172B">
        <w:rPr>
          <w:b/>
          <w:color w:val="000000" w:themeColor="text1"/>
        </w:rPr>
        <w:lastRenderedPageBreak/>
        <w:t>Targets</w:t>
      </w:r>
    </w:p>
    <w:tbl>
      <w:tblPr>
        <w:tblW w:w="3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1"/>
      </w:tblPr>
      <w:tblGrid>
        <w:gridCol w:w="753"/>
        <w:gridCol w:w="1674"/>
        <w:gridCol w:w="1675"/>
        <w:gridCol w:w="1675"/>
        <w:gridCol w:w="1672"/>
      </w:tblGrid>
      <w:tr w:rsidR="00C843AF" w:rsidRPr="00ED172B" w14:paraId="78F3A176" w14:textId="718CF8FE" w:rsidTr="00E415ED">
        <w:trPr>
          <w:trHeight w:val="350"/>
        </w:trPr>
        <w:tc>
          <w:tcPr>
            <w:tcW w:w="506" w:type="pct"/>
            <w:tcBorders>
              <w:bottom w:val="single" w:sz="4" w:space="0" w:color="auto"/>
            </w:tcBorders>
            <w:shd w:val="clear" w:color="auto" w:fill="auto"/>
            <w:vAlign w:val="center"/>
          </w:tcPr>
          <w:p w14:paraId="601CA42E" w14:textId="77777777" w:rsidR="00C843AF" w:rsidRPr="00ED172B" w:rsidRDefault="00C843AF" w:rsidP="0012497F">
            <w:pPr>
              <w:jc w:val="center"/>
              <w:rPr>
                <w:b/>
                <w:color w:val="000000" w:themeColor="text1"/>
              </w:rPr>
            </w:pPr>
            <w:r w:rsidRPr="00ED172B">
              <w:rPr>
                <w:b/>
                <w:color w:val="000000" w:themeColor="text1"/>
              </w:rPr>
              <w:t>FFY</w:t>
            </w:r>
          </w:p>
        </w:tc>
        <w:tc>
          <w:tcPr>
            <w:tcW w:w="1124" w:type="pct"/>
            <w:shd w:val="clear" w:color="auto" w:fill="auto"/>
            <w:vAlign w:val="center"/>
          </w:tcPr>
          <w:p w14:paraId="71D7C7B0" w14:textId="4132339A" w:rsidR="00C843AF" w:rsidRPr="00ED172B" w:rsidRDefault="00C843AF" w:rsidP="0012497F">
            <w:pPr>
              <w:jc w:val="center"/>
              <w:rPr>
                <w:b/>
                <w:color w:val="000000" w:themeColor="text1"/>
              </w:rPr>
            </w:pPr>
            <w:r w:rsidRPr="00ED172B">
              <w:rPr>
                <w:b/>
                <w:color w:val="000000" w:themeColor="text1"/>
              </w:rPr>
              <w:t>2022</w:t>
            </w:r>
          </w:p>
        </w:tc>
        <w:tc>
          <w:tcPr>
            <w:tcW w:w="1124" w:type="pct"/>
          </w:tcPr>
          <w:p w14:paraId="4E28D02E" w14:textId="029CFEF6" w:rsidR="00C843AF" w:rsidRPr="00ED172B" w:rsidRDefault="00C843AF" w:rsidP="0012497F">
            <w:pPr>
              <w:jc w:val="center"/>
              <w:rPr>
                <w:b/>
                <w:color w:val="000000" w:themeColor="text1"/>
              </w:rPr>
            </w:pPr>
            <w:r>
              <w:rPr>
                <w:rFonts w:cs="Arial"/>
                <w:b/>
                <w:color w:val="000000" w:themeColor="text1"/>
                <w:szCs w:val="16"/>
              </w:rPr>
              <w:t>2023</w:t>
            </w:r>
          </w:p>
        </w:tc>
        <w:tc>
          <w:tcPr>
            <w:tcW w:w="1124" w:type="pct"/>
          </w:tcPr>
          <w:p w14:paraId="0EC7622F" w14:textId="5BEDD93D" w:rsidR="00C843AF" w:rsidRPr="00ED172B" w:rsidRDefault="00C843AF" w:rsidP="0012497F">
            <w:pPr>
              <w:jc w:val="center"/>
              <w:rPr>
                <w:b/>
                <w:color w:val="000000" w:themeColor="text1"/>
              </w:rPr>
            </w:pPr>
            <w:r w:rsidRPr="005A1B4F">
              <w:rPr>
                <w:rFonts w:cs="Arial"/>
                <w:b/>
                <w:color w:val="000000" w:themeColor="text1"/>
                <w:szCs w:val="16"/>
              </w:rPr>
              <w:t>2024</w:t>
            </w:r>
          </w:p>
        </w:tc>
        <w:tc>
          <w:tcPr>
            <w:tcW w:w="1123" w:type="pct"/>
          </w:tcPr>
          <w:p w14:paraId="74DF1D04" w14:textId="4EB3EA01" w:rsidR="00C843AF" w:rsidRPr="00ED172B" w:rsidRDefault="00C843AF" w:rsidP="0012497F">
            <w:pPr>
              <w:jc w:val="center"/>
              <w:rPr>
                <w:b/>
                <w:color w:val="000000" w:themeColor="text1"/>
              </w:rPr>
            </w:pPr>
            <w:r w:rsidRPr="005A1B4F">
              <w:rPr>
                <w:rFonts w:cs="Arial"/>
                <w:b/>
                <w:color w:val="000000" w:themeColor="text1"/>
                <w:szCs w:val="16"/>
              </w:rPr>
              <w:t>2025</w:t>
            </w:r>
          </w:p>
        </w:tc>
      </w:tr>
      <w:tr w:rsidR="00C843AF" w:rsidRPr="00ED172B" w14:paraId="02D6AC53" w14:textId="4FB2AF94" w:rsidTr="00E415ED">
        <w:trPr>
          <w:trHeight w:val="357"/>
        </w:trPr>
        <w:tc>
          <w:tcPr>
            <w:tcW w:w="506" w:type="pct"/>
            <w:shd w:val="clear" w:color="auto" w:fill="auto"/>
            <w:vAlign w:val="center"/>
          </w:tcPr>
          <w:p w14:paraId="358625ED" w14:textId="2B3EF345" w:rsidR="00C843AF" w:rsidRPr="00ED172B" w:rsidRDefault="00C843AF" w:rsidP="00D21F29">
            <w:pPr>
              <w:jc w:val="center"/>
              <w:rPr>
                <w:color w:val="000000" w:themeColor="text1"/>
                <w:szCs w:val="16"/>
              </w:rPr>
            </w:pPr>
            <w:r w:rsidRPr="00ED172B">
              <w:rPr>
                <w:color w:val="000000" w:themeColor="text1"/>
                <w:szCs w:val="16"/>
              </w:rPr>
              <w:t>Target A1&gt;=</w:t>
            </w:r>
          </w:p>
        </w:tc>
        <w:tc>
          <w:tcPr>
            <w:tcW w:w="1124" w:type="pct"/>
            <w:shd w:val="clear" w:color="auto" w:fill="auto"/>
            <w:vAlign w:val="center"/>
          </w:tcPr>
          <w:p w14:paraId="6DA0DB56" w14:textId="148B9E5E" w:rsidR="00C843AF" w:rsidRPr="00ED172B" w:rsidRDefault="00C843AF" w:rsidP="002242B8">
            <w:pPr>
              <w:jc w:val="center"/>
              <w:rPr>
                <w:color w:val="000000" w:themeColor="text1"/>
              </w:rPr>
            </w:pPr>
            <w:r w:rsidRPr="00ED172B">
              <w:rPr>
                <w:color w:val="000000" w:themeColor="text1"/>
              </w:rPr>
              <w:t>69.49%</w:t>
            </w:r>
          </w:p>
        </w:tc>
        <w:tc>
          <w:tcPr>
            <w:tcW w:w="1124" w:type="pct"/>
          </w:tcPr>
          <w:p w14:paraId="7A62957C" w14:textId="59554121" w:rsidR="00C843AF" w:rsidRPr="00ED172B" w:rsidRDefault="00C843AF" w:rsidP="002242B8">
            <w:pPr>
              <w:jc w:val="center"/>
              <w:rPr>
                <w:color w:val="000000" w:themeColor="text1"/>
              </w:rPr>
            </w:pPr>
            <w:r>
              <w:rPr>
                <w:color w:val="000000" w:themeColor="text1"/>
              </w:rPr>
              <w:t>70.02%</w:t>
            </w:r>
          </w:p>
        </w:tc>
        <w:tc>
          <w:tcPr>
            <w:tcW w:w="1124" w:type="pct"/>
          </w:tcPr>
          <w:p w14:paraId="330DB307" w14:textId="4DD70DCA" w:rsidR="00C843AF" w:rsidRPr="00ED172B" w:rsidRDefault="00C843AF" w:rsidP="002242B8">
            <w:pPr>
              <w:jc w:val="center"/>
              <w:rPr>
                <w:color w:val="000000" w:themeColor="text1"/>
              </w:rPr>
            </w:pPr>
            <w:r>
              <w:rPr>
                <w:color w:val="000000" w:themeColor="text1"/>
              </w:rPr>
              <w:t>70.55%</w:t>
            </w:r>
          </w:p>
        </w:tc>
        <w:tc>
          <w:tcPr>
            <w:tcW w:w="1123" w:type="pct"/>
          </w:tcPr>
          <w:p w14:paraId="1E535134" w14:textId="174673D1" w:rsidR="00C843AF" w:rsidRPr="00ED172B" w:rsidRDefault="00C843AF" w:rsidP="002242B8">
            <w:pPr>
              <w:jc w:val="center"/>
              <w:rPr>
                <w:color w:val="000000" w:themeColor="text1"/>
              </w:rPr>
            </w:pPr>
            <w:r>
              <w:rPr>
                <w:color w:val="000000" w:themeColor="text1"/>
              </w:rPr>
              <w:t>71.08%</w:t>
            </w:r>
          </w:p>
        </w:tc>
      </w:tr>
      <w:tr w:rsidR="00C843AF" w:rsidRPr="00ED172B" w14:paraId="44891442" w14:textId="0FF36806" w:rsidTr="00E415ED">
        <w:trPr>
          <w:trHeight w:val="357"/>
        </w:trPr>
        <w:tc>
          <w:tcPr>
            <w:tcW w:w="506" w:type="pct"/>
            <w:shd w:val="clear" w:color="auto" w:fill="auto"/>
            <w:vAlign w:val="center"/>
          </w:tcPr>
          <w:p w14:paraId="009D9538" w14:textId="29076A1F" w:rsidR="00C843AF" w:rsidRPr="00ED172B" w:rsidRDefault="00C843AF" w:rsidP="00D21F29">
            <w:pPr>
              <w:jc w:val="center"/>
              <w:rPr>
                <w:color w:val="000000" w:themeColor="text1"/>
                <w:szCs w:val="16"/>
              </w:rPr>
            </w:pPr>
            <w:r w:rsidRPr="00ED172B">
              <w:rPr>
                <w:color w:val="000000" w:themeColor="text1"/>
                <w:szCs w:val="16"/>
              </w:rPr>
              <w:t>Target A2&gt;=</w:t>
            </w:r>
          </w:p>
        </w:tc>
        <w:tc>
          <w:tcPr>
            <w:tcW w:w="1124" w:type="pct"/>
            <w:shd w:val="clear" w:color="auto" w:fill="auto"/>
            <w:vAlign w:val="center"/>
          </w:tcPr>
          <w:p w14:paraId="055CB77B" w14:textId="617D01F2" w:rsidR="00C843AF" w:rsidRPr="00ED172B" w:rsidRDefault="00C843AF" w:rsidP="002242B8">
            <w:pPr>
              <w:jc w:val="center"/>
              <w:rPr>
                <w:color w:val="000000" w:themeColor="text1"/>
              </w:rPr>
            </w:pPr>
            <w:r w:rsidRPr="00ED172B">
              <w:rPr>
                <w:color w:val="000000" w:themeColor="text1"/>
              </w:rPr>
              <w:t>40.34%</w:t>
            </w:r>
          </w:p>
        </w:tc>
        <w:tc>
          <w:tcPr>
            <w:tcW w:w="1124" w:type="pct"/>
          </w:tcPr>
          <w:p w14:paraId="1DD5AC15" w14:textId="552D0AAC" w:rsidR="00C843AF" w:rsidRPr="00ED172B" w:rsidRDefault="00C843AF" w:rsidP="002242B8">
            <w:pPr>
              <w:jc w:val="center"/>
              <w:rPr>
                <w:color w:val="000000" w:themeColor="text1"/>
              </w:rPr>
            </w:pPr>
            <w:r>
              <w:rPr>
                <w:color w:val="000000" w:themeColor="text1"/>
              </w:rPr>
              <w:t>40.34%</w:t>
            </w:r>
          </w:p>
        </w:tc>
        <w:tc>
          <w:tcPr>
            <w:tcW w:w="1124" w:type="pct"/>
          </w:tcPr>
          <w:p w14:paraId="29377148" w14:textId="76F6C6ED" w:rsidR="00C843AF" w:rsidRPr="00ED172B" w:rsidRDefault="00C843AF" w:rsidP="002242B8">
            <w:pPr>
              <w:jc w:val="center"/>
              <w:rPr>
                <w:color w:val="000000" w:themeColor="text1"/>
              </w:rPr>
            </w:pPr>
            <w:r>
              <w:rPr>
                <w:color w:val="000000" w:themeColor="text1"/>
              </w:rPr>
              <w:t>40.44%</w:t>
            </w:r>
          </w:p>
        </w:tc>
        <w:tc>
          <w:tcPr>
            <w:tcW w:w="1123" w:type="pct"/>
          </w:tcPr>
          <w:p w14:paraId="3F8E8EE0" w14:textId="1AB30A36" w:rsidR="00C843AF" w:rsidRPr="00ED172B" w:rsidRDefault="00C843AF" w:rsidP="002242B8">
            <w:pPr>
              <w:jc w:val="center"/>
              <w:rPr>
                <w:color w:val="000000" w:themeColor="text1"/>
              </w:rPr>
            </w:pPr>
            <w:r>
              <w:rPr>
                <w:color w:val="000000" w:themeColor="text1"/>
              </w:rPr>
              <w:t>40.44%</w:t>
            </w:r>
          </w:p>
        </w:tc>
      </w:tr>
      <w:tr w:rsidR="00C843AF" w:rsidRPr="00ED172B" w14:paraId="2690938F" w14:textId="5C81AA5A" w:rsidTr="00E415ED">
        <w:trPr>
          <w:trHeight w:val="357"/>
        </w:trPr>
        <w:tc>
          <w:tcPr>
            <w:tcW w:w="506" w:type="pct"/>
            <w:shd w:val="clear" w:color="auto" w:fill="auto"/>
            <w:vAlign w:val="center"/>
          </w:tcPr>
          <w:p w14:paraId="59DB088F" w14:textId="1C7EE8C0" w:rsidR="00C843AF" w:rsidRPr="00ED172B" w:rsidRDefault="00C843AF" w:rsidP="00D21F29">
            <w:pPr>
              <w:jc w:val="center"/>
              <w:rPr>
                <w:color w:val="000000" w:themeColor="text1"/>
                <w:szCs w:val="16"/>
              </w:rPr>
            </w:pPr>
            <w:r w:rsidRPr="00ED172B">
              <w:rPr>
                <w:color w:val="000000" w:themeColor="text1"/>
                <w:szCs w:val="16"/>
              </w:rPr>
              <w:t>Target B1&gt;=</w:t>
            </w:r>
          </w:p>
        </w:tc>
        <w:tc>
          <w:tcPr>
            <w:tcW w:w="1124" w:type="pct"/>
            <w:shd w:val="clear" w:color="auto" w:fill="auto"/>
            <w:vAlign w:val="center"/>
          </w:tcPr>
          <w:p w14:paraId="2907988A" w14:textId="5789E173" w:rsidR="00C843AF" w:rsidRPr="00ED172B" w:rsidRDefault="00C843AF" w:rsidP="002242B8">
            <w:pPr>
              <w:jc w:val="center"/>
              <w:rPr>
                <w:color w:val="000000" w:themeColor="text1"/>
              </w:rPr>
            </w:pPr>
            <w:r w:rsidRPr="00ED172B">
              <w:rPr>
                <w:color w:val="000000" w:themeColor="text1"/>
              </w:rPr>
              <w:t>72.16%</w:t>
            </w:r>
          </w:p>
        </w:tc>
        <w:tc>
          <w:tcPr>
            <w:tcW w:w="1124" w:type="pct"/>
          </w:tcPr>
          <w:p w14:paraId="7EDAF97B" w14:textId="4B219601" w:rsidR="00C843AF" w:rsidRPr="00ED172B" w:rsidRDefault="00C843AF" w:rsidP="002242B8">
            <w:pPr>
              <w:jc w:val="center"/>
              <w:rPr>
                <w:color w:val="000000" w:themeColor="text1"/>
              </w:rPr>
            </w:pPr>
            <w:r>
              <w:rPr>
                <w:color w:val="000000" w:themeColor="text1"/>
              </w:rPr>
              <w:t>72.16%</w:t>
            </w:r>
          </w:p>
        </w:tc>
        <w:tc>
          <w:tcPr>
            <w:tcW w:w="1124" w:type="pct"/>
          </w:tcPr>
          <w:p w14:paraId="31A1D7D3" w14:textId="003191E1" w:rsidR="00C843AF" w:rsidRPr="00ED172B" w:rsidRDefault="00C843AF" w:rsidP="002242B8">
            <w:pPr>
              <w:jc w:val="center"/>
              <w:rPr>
                <w:color w:val="000000" w:themeColor="text1"/>
              </w:rPr>
            </w:pPr>
            <w:r>
              <w:rPr>
                <w:color w:val="000000" w:themeColor="text1"/>
              </w:rPr>
              <w:t>72.26%</w:t>
            </w:r>
          </w:p>
        </w:tc>
        <w:tc>
          <w:tcPr>
            <w:tcW w:w="1123" w:type="pct"/>
          </w:tcPr>
          <w:p w14:paraId="493915A7" w14:textId="24756F38" w:rsidR="00C843AF" w:rsidRPr="00ED172B" w:rsidRDefault="00C843AF" w:rsidP="002242B8">
            <w:pPr>
              <w:jc w:val="center"/>
              <w:rPr>
                <w:color w:val="000000" w:themeColor="text1"/>
              </w:rPr>
            </w:pPr>
            <w:r>
              <w:rPr>
                <w:color w:val="000000" w:themeColor="text1"/>
              </w:rPr>
              <w:t>72.26%</w:t>
            </w:r>
          </w:p>
        </w:tc>
      </w:tr>
      <w:tr w:rsidR="00C843AF" w:rsidRPr="00ED172B" w14:paraId="1E1B569B" w14:textId="4BB89901" w:rsidTr="00E415ED">
        <w:trPr>
          <w:trHeight w:val="357"/>
        </w:trPr>
        <w:tc>
          <w:tcPr>
            <w:tcW w:w="506" w:type="pct"/>
            <w:shd w:val="clear" w:color="auto" w:fill="auto"/>
            <w:vAlign w:val="center"/>
          </w:tcPr>
          <w:p w14:paraId="13799DA2" w14:textId="4BB3DE26" w:rsidR="00C843AF" w:rsidRPr="00ED172B" w:rsidRDefault="00C843AF" w:rsidP="00D21F29">
            <w:pPr>
              <w:jc w:val="center"/>
              <w:rPr>
                <w:color w:val="000000" w:themeColor="text1"/>
                <w:szCs w:val="16"/>
              </w:rPr>
            </w:pPr>
            <w:r w:rsidRPr="00ED172B">
              <w:rPr>
                <w:color w:val="000000" w:themeColor="text1"/>
                <w:szCs w:val="16"/>
              </w:rPr>
              <w:t>Target B2&gt;=</w:t>
            </w:r>
          </w:p>
        </w:tc>
        <w:tc>
          <w:tcPr>
            <w:tcW w:w="1124" w:type="pct"/>
            <w:shd w:val="clear" w:color="auto" w:fill="auto"/>
            <w:vAlign w:val="center"/>
          </w:tcPr>
          <w:p w14:paraId="3C5EA01D" w14:textId="1C391BC4" w:rsidR="00C843AF" w:rsidRPr="00ED172B" w:rsidRDefault="00C843AF" w:rsidP="002242B8">
            <w:pPr>
              <w:jc w:val="center"/>
              <w:rPr>
                <w:color w:val="000000" w:themeColor="text1"/>
              </w:rPr>
            </w:pPr>
            <w:r w:rsidRPr="00ED172B">
              <w:rPr>
                <w:color w:val="000000" w:themeColor="text1"/>
              </w:rPr>
              <w:t>38.64%</w:t>
            </w:r>
          </w:p>
        </w:tc>
        <w:tc>
          <w:tcPr>
            <w:tcW w:w="1124" w:type="pct"/>
          </w:tcPr>
          <w:p w14:paraId="5980DE18" w14:textId="10CD7859" w:rsidR="00C843AF" w:rsidRPr="00ED172B" w:rsidRDefault="00C843AF" w:rsidP="002242B8">
            <w:pPr>
              <w:jc w:val="center"/>
              <w:rPr>
                <w:color w:val="000000" w:themeColor="text1"/>
              </w:rPr>
            </w:pPr>
            <w:r>
              <w:rPr>
                <w:color w:val="000000" w:themeColor="text1"/>
              </w:rPr>
              <w:t>38.64%</w:t>
            </w:r>
          </w:p>
        </w:tc>
        <w:tc>
          <w:tcPr>
            <w:tcW w:w="1124" w:type="pct"/>
          </w:tcPr>
          <w:p w14:paraId="3FD51CD4" w14:textId="4E5875CE" w:rsidR="00C843AF" w:rsidRPr="00ED172B" w:rsidRDefault="00C843AF" w:rsidP="002242B8">
            <w:pPr>
              <w:jc w:val="center"/>
              <w:rPr>
                <w:color w:val="000000" w:themeColor="text1"/>
              </w:rPr>
            </w:pPr>
            <w:r>
              <w:rPr>
                <w:color w:val="000000" w:themeColor="text1"/>
              </w:rPr>
              <w:t>38.74%</w:t>
            </w:r>
          </w:p>
        </w:tc>
        <w:tc>
          <w:tcPr>
            <w:tcW w:w="1123" w:type="pct"/>
          </w:tcPr>
          <w:p w14:paraId="3A7274FD" w14:textId="38B9FCB4" w:rsidR="00C843AF" w:rsidRPr="00ED172B" w:rsidRDefault="00C843AF" w:rsidP="002242B8">
            <w:pPr>
              <w:jc w:val="center"/>
              <w:rPr>
                <w:color w:val="000000" w:themeColor="text1"/>
              </w:rPr>
            </w:pPr>
            <w:r>
              <w:rPr>
                <w:color w:val="000000" w:themeColor="text1"/>
              </w:rPr>
              <w:t>38.74%</w:t>
            </w:r>
          </w:p>
        </w:tc>
      </w:tr>
      <w:tr w:rsidR="00C843AF" w:rsidRPr="00ED172B" w14:paraId="6F747C45" w14:textId="78B1E7A4" w:rsidTr="00E415ED">
        <w:trPr>
          <w:trHeight w:val="357"/>
        </w:trPr>
        <w:tc>
          <w:tcPr>
            <w:tcW w:w="506" w:type="pct"/>
            <w:shd w:val="clear" w:color="auto" w:fill="auto"/>
            <w:vAlign w:val="center"/>
          </w:tcPr>
          <w:p w14:paraId="19D62A97" w14:textId="4E5E2DD2" w:rsidR="00C843AF" w:rsidRPr="00ED172B" w:rsidRDefault="00C843AF" w:rsidP="00D21F29">
            <w:pPr>
              <w:jc w:val="center"/>
              <w:rPr>
                <w:color w:val="000000" w:themeColor="text1"/>
                <w:szCs w:val="16"/>
              </w:rPr>
            </w:pPr>
            <w:r w:rsidRPr="00ED172B">
              <w:rPr>
                <w:color w:val="000000" w:themeColor="text1"/>
                <w:szCs w:val="16"/>
              </w:rPr>
              <w:t>Target C1&gt;=</w:t>
            </w:r>
          </w:p>
        </w:tc>
        <w:tc>
          <w:tcPr>
            <w:tcW w:w="1124" w:type="pct"/>
            <w:shd w:val="clear" w:color="auto" w:fill="auto"/>
            <w:vAlign w:val="center"/>
          </w:tcPr>
          <w:p w14:paraId="2F5E76E5" w14:textId="3B73537A" w:rsidR="00C843AF" w:rsidRPr="00ED172B" w:rsidRDefault="00C843AF" w:rsidP="0012497F">
            <w:pPr>
              <w:jc w:val="center"/>
              <w:rPr>
                <w:color w:val="000000" w:themeColor="text1"/>
              </w:rPr>
            </w:pPr>
            <w:r w:rsidRPr="00ED172B">
              <w:rPr>
                <w:color w:val="000000" w:themeColor="text1"/>
              </w:rPr>
              <w:t>66.48%</w:t>
            </w:r>
          </w:p>
        </w:tc>
        <w:tc>
          <w:tcPr>
            <w:tcW w:w="1124" w:type="pct"/>
          </w:tcPr>
          <w:p w14:paraId="3564984B" w14:textId="08842718" w:rsidR="00C843AF" w:rsidRPr="00ED172B" w:rsidRDefault="00C843AF" w:rsidP="0012497F">
            <w:pPr>
              <w:jc w:val="center"/>
              <w:rPr>
                <w:color w:val="000000" w:themeColor="text1"/>
              </w:rPr>
            </w:pPr>
            <w:r>
              <w:rPr>
                <w:color w:val="000000" w:themeColor="text1"/>
              </w:rPr>
              <w:t>66.48%</w:t>
            </w:r>
          </w:p>
        </w:tc>
        <w:tc>
          <w:tcPr>
            <w:tcW w:w="1124" w:type="pct"/>
          </w:tcPr>
          <w:p w14:paraId="6F334EB5" w14:textId="748BD28E" w:rsidR="00C843AF" w:rsidRPr="00ED172B" w:rsidRDefault="00C843AF" w:rsidP="0012497F">
            <w:pPr>
              <w:jc w:val="center"/>
              <w:rPr>
                <w:color w:val="000000" w:themeColor="text1"/>
              </w:rPr>
            </w:pPr>
            <w:r>
              <w:rPr>
                <w:color w:val="000000" w:themeColor="text1"/>
              </w:rPr>
              <w:t>66.58%</w:t>
            </w:r>
          </w:p>
        </w:tc>
        <w:tc>
          <w:tcPr>
            <w:tcW w:w="1123" w:type="pct"/>
          </w:tcPr>
          <w:p w14:paraId="13A1DF6C" w14:textId="36831C30" w:rsidR="00C843AF" w:rsidRPr="00ED172B" w:rsidRDefault="00C843AF" w:rsidP="0012497F">
            <w:pPr>
              <w:jc w:val="center"/>
              <w:rPr>
                <w:color w:val="000000" w:themeColor="text1"/>
              </w:rPr>
            </w:pPr>
            <w:r>
              <w:rPr>
                <w:color w:val="000000" w:themeColor="text1"/>
              </w:rPr>
              <w:t>66.58%</w:t>
            </w:r>
          </w:p>
        </w:tc>
      </w:tr>
      <w:tr w:rsidR="00C843AF" w:rsidRPr="00ED172B" w14:paraId="042194B1" w14:textId="77BD4258" w:rsidTr="00E415ED">
        <w:trPr>
          <w:trHeight w:val="357"/>
        </w:trPr>
        <w:tc>
          <w:tcPr>
            <w:tcW w:w="506" w:type="pct"/>
            <w:shd w:val="clear" w:color="auto" w:fill="auto"/>
            <w:vAlign w:val="center"/>
          </w:tcPr>
          <w:p w14:paraId="62D06703" w14:textId="0E10BF36" w:rsidR="00C843AF" w:rsidRPr="00ED172B" w:rsidRDefault="00C843AF" w:rsidP="00D21F29">
            <w:pPr>
              <w:jc w:val="center"/>
              <w:rPr>
                <w:color w:val="000000" w:themeColor="text1"/>
                <w:szCs w:val="16"/>
              </w:rPr>
            </w:pPr>
            <w:r w:rsidRPr="00ED172B">
              <w:rPr>
                <w:color w:val="000000" w:themeColor="text1"/>
                <w:szCs w:val="16"/>
              </w:rPr>
              <w:t>Target C2&gt;=</w:t>
            </w:r>
          </w:p>
        </w:tc>
        <w:tc>
          <w:tcPr>
            <w:tcW w:w="1124" w:type="pct"/>
            <w:shd w:val="clear" w:color="auto" w:fill="auto"/>
            <w:vAlign w:val="center"/>
          </w:tcPr>
          <w:p w14:paraId="763C7DAE" w14:textId="263F85F1" w:rsidR="00C843AF" w:rsidRPr="00ED172B" w:rsidRDefault="00C843AF" w:rsidP="0012497F">
            <w:pPr>
              <w:jc w:val="center"/>
              <w:rPr>
                <w:color w:val="000000" w:themeColor="text1"/>
              </w:rPr>
            </w:pPr>
            <w:r w:rsidRPr="00ED172B">
              <w:rPr>
                <w:color w:val="000000" w:themeColor="text1"/>
              </w:rPr>
              <w:t>42.10%</w:t>
            </w:r>
          </w:p>
        </w:tc>
        <w:tc>
          <w:tcPr>
            <w:tcW w:w="1124" w:type="pct"/>
          </w:tcPr>
          <w:p w14:paraId="58EBEEB4" w14:textId="68AFCCA1" w:rsidR="00C843AF" w:rsidRPr="00ED172B" w:rsidRDefault="00C843AF" w:rsidP="0012497F">
            <w:pPr>
              <w:jc w:val="center"/>
              <w:rPr>
                <w:color w:val="000000" w:themeColor="text1"/>
              </w:rPr>
            </w:pPr>
            <w:r>
              <w:rPr>
                <w:color w:val="000000" w:themeColor="text1"/>
              </w:rPr>
              <w:t>42.10%</w:t>
            </w:r>
          </w:p>
        </w:tc>
        <w:tc>
          <w:tcPr>
            <w:tcW w:w="1124" w:type="pct"/>
          </w:tcPr>
          <w:p w14:paraId="6E31560A" w14:textId="75F80FC4" w:rsidR="00C843AF" w:rsidRPr="00ED172B" w:rsidRDefault="00C843AF" w:rsidP="0012497F">
            <w:pPr>
              <w:jc w:val="center"/>
              <w:rPr>
                <w:color w:val="000000" w:themeColor="text1"/>
              </w:rPr>
            </w:pPr>
            <w:r>
              <w:rPr>
                <w:color w:val="000000" w:themeColor="text1"/>
              </w:rPr>
              <w:t>42.20%</w:t>
            </w:r>
          </w:p>
        </w:tc>
        <w:tc>
          <w:tcPr>
            <w:tcW w:w="1123" w:type="pct"/>
          </w:tcPr>
          <w:p w14:paraId="42F0DDB0" w14:textId="671196CD" w:rsidR="00C843AF" w:rsidRPr="00ED172B" w:rsidRDefault="00C843AF" w:rsidP="0012497F">
            <w:pPr>
              <w:jc w:val="center"/>
              <w:rPr>
                <w:color w:val="000000" w:themeColor="text1"/>
              </w:rPr>
            </w:pPr>
            <w:r>
              <w:rPr>
                <w:color w:val="000000" w:themeColor="text1"/>
              </w:rPr>
              <w:t>42.20%</w:t>
            </w:r>
          </w:p>
        </w:tc>
      </w:tr>
    </w:tbl>
    <w:p w14:paraId="51844E7F" w14:textId="3B3A5148" w:rsidR="001A4B29" w:rsidRPr="00ED172B" w:rsidRDefault="00F32724">
      <w:pPr>
        <w:rPr>
          <w:b/>
          <w:color w:val="000000" w:themeColor="text1"/>
        </w:rPr>
      </w:pPr>
      <w:r w:rsidRPr="00ED172B" w:rsidDel="00F32724">
        <w:rPr>
          <w:b/>
          <w:color w:val="000000" w:themeColor="text1"/>
        </w:rPr>
        <w:t xml:space="preserve"> </w:t>
      </w:r>
      <w:r w:rsidR="001A4B29" w:rsidRPr="00ED172B">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1"/>
      </w:tblPr>
      <w:tblGrid>
        <w:gridCol w:w="7350"/>
        <w:gridCol w:w="1720"/>
        <w:gridCol w:w="1720"/>
      </w:tblGrid>
      <w:tr w:rsidR="00ED172B" w:rsidRPr="00ED172B" w14:paraId="199F40A6" w14:textId="77777777" w:rsidTr="00986B99">
        <w:trPr>
          <w:trHeight w:val="287"/>
          <w:tblHeader/>
        </w:trPr>
        <w:tc>
          <w:tcPr>
            <w:tcW w:w="3406" w:type="pct"/>
            <w:shd w:val="clear" w:color="auto" w:fill="auto"/>
            <w:vAlign w:val="center"/>
          </w:tcPr>
          <w:p w14:paraId="5BC436ED" w14:textId="7D8AC379" w:rsidR="001A4B29" w:rsidRPr="00ED172B" w:rsidRDefault="008320B5" w:rsidP="00B83404">
            <w:pPr>
              <w:rPr>
                <w:color w:val="000000" w:themeColor="text1"/>
              </w:rPr>
            </w:pPr>
            <w:r>
              <w:rPr>
                <w:rFonts w:cs="Arial"/>
                <w:b/>
                <w:color w:val="000000" w:themeColor="text1"/>
                <w:szCs w:val="16"/>
              </w:rPr>
              <w:t xml:space="preserve">Outcome A </w:t>
            </w:r>
            <w:r w:rsidRPr="001071FD">
              <w:rPr>
                <w:rFonts w:cs="Arial"/>
                <w:b/>
                <w:bCs/>
                <w:color w:val="000000" w:themeColor="text1"/>
                <w:szCs w:val="16"/>
              </w:rPr>
              <w:t xml:space="preserve">Progress </w:t>
            </w:r>
            <w:r>
              <w:rPr>
                <w:rFonts w:cs="Arial"/>
                <w:b/>
                <w:bCs/>
                <w:color w:val="000000" w:themeColor="text1"/>
                <w:szCs w:val="16"/>
              </w:rPr>
              <w:t>C</w:t>
            </w:r>
            <w:r w:rsidRPr="001071FD">
              <w:rPr>
                <w:rFonts w:cs="Arial"/>
                <w:b/>
                <w:bCs/>
                <w:color w:val="000000" w:themeColor="text1"/>
                <w:szCs w:val="16"/>
              </w:rPr>
              <w:t>ategor</w:t>
            </w:r>
            <w:r>
              <w:rPr>
                <w:rFonts w:cs="Arial"/>
                <w:b/>
                <w:bCs/>
                <w:color w:val="000000" w:themeColor="text1"/>
                <w:szCs w:val="16"/>
              </w:rPr>
              <w:t>y</w:t>
            </w:r>
          </w:p>
        </w:tc>
        <w:tc>
          <w:tcPr>
            <w:tcW w:w="797" w:type="pct"/>
            <w:shd w:val="clear" w:color="auto" w:fill="auto"/>
            <w:vAlign w:val="center"/>
          </w:tcPr>
          <w:p w14:paraId="117C054E"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5DE447B1"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A737610" w14:textId="77777777" w:rsidTr="00986B99">
        <w:trPr>
          <w:trHeight w:val="361"/>
        </w:trPr>
        <w:tc>
          <w:tcPr>
            <w:tcW w:w="3406" w:type="pct"/>
            <w:shd w:val="clear" w:color="auto" w:fill="auto"/>
            <w:vAlign w:val="center"/>
          </w:tcPr>
          <w:p w14:paraId="0D7FD0A3" w14:textId="77777777" w:rsidR="001A4B29" w:rsidRPr="00ED172B" w:rsidRDefault="001A4B29" w:rsidP="001A4B29">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7B73B6C2" w14:textId="57ACFA8E" w:rsidR="001A4B29" w:rsidRPr="00ED172B" w:rsidRDefault="00860830" w:rsidP="00186420">
            <w:pPr>
              <w:jc w:val="center"/>
              <w:rPr>
                <w:rFonts w:cs="Arial"/>
                <w:color w:val="000000" w:themeColor="text1"/>
                <w:szCs w:val="16"/>
              </w:rPr>
            </w:pPr>
            <w:r w:rsidRPr="00ED172B">
              <w:rPr>
                <w:rFonts w:cs="Arial"/>
                <w:color w:val="000000" w:themeColor="text1"/>
                <w:szCs w:val="16"/>
              </w:rPr>
              <w:t>9</w:t>
            </w:r>
          </w:p>
        </w:tc>
        <w:tc>
          <w:tcPr>
            <w:tcW w:w="797" w:type="pct"/>
            <w:shd w:val="clear" w:color="auto" w:fill="auto"/>
            <w:vAlign w:val="center"/>
          </w:tcPr>
          <w:p w14:paraId="21371D80" w14:textId="187C61CB" w:rsidR="001A4B29" w:rsidRPr="00ED172B" w:rsidRDefault="00860830" w:rsidP="00186420">
            <w:pPr>
              <w:jc w:val="center"/>
              <w:rPr>
                <w:rFonts w:cs="Arial"/>
                <w:color w:val="000000" w:themeColor="text1"/>
                <w:szCs w:val="16"/>
              </w:rPr>
            </w:pPr>
            <w:r w:rsidRPr="00ED172B">
              <w:rPr>
                <w:rFonts w:cs="Arial"/>
                <w:color w:val="000000" w:themeColor="text1"/>
                <w:szCs w:val="16"/>
              </w:rPr>
              <w:t>0.51%</w:t>
            </w:r>
          </w:p>
        </w:tc>
      </w:tr>
      <w:tr w:rsidR="00ED172B" w:rsidRPr="00ED172B" w14:paraId="09D5BD6A" w14:textId="77777777" w:rsidTr="00986B99">
        <w:trPr>
          <w:trHeight w:val="361"/>
        </w:trPr>
        <w:tc>
          <w:tcPr>
            <w:tcW w:w="3406" w:type="pct"/>
            <w:shd w:val="clear" w:color="auto" w:fill="auto"/>
            <w:vAlign w:val="center"/>
          </w:tcPr>
          <w:p w14:paraId="1A85375B" w14:textId="77777777" w:rsidR="00E447C5" w:rsidRPr="00ED172B" w:rsidRDefault="00E447C5" w:rsidP="00E447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03A954FC" w14:textId="5A74BEE6" w:rsidR="00E447C5" w:rsidRPr="00ED172B" w:rsidRDefault="00860830" w:rsidP="00186420">
            <w:pPr>
              <w:jc w:val="center"/>
              <w:rPr>
                <w:rFonts w:cs="Arial"/>
                <w:color w:val="000000" w:themeColor="text1"/>
                <w:szCs w:val="16"/>
              </w:rPr>
            </w:pPr>
            <w:r w:rsidRPr="00ED172B">
              <w:rPr>
                <w:rFonts w:cs="Arial"/>
                <w:color w:val="000000" w:themeColor="text1"/>
                <w:szCs w:val="16"/>
              </w:rPr>
              <w:t>334</w:t>
            </w:r>
          </w:p>
        </w:tc>
        <w:tc>
          <w:tcPr>
            <w:tcW w:w="797" w:type="pct"/>
            <w:shd w:val="clear" w:color="auto" w:fill="auto"/>
            <w:vAlign w:val="center"/>
          </w:tcPr>
          <w:p w14:paraId="122E007F" w14:textId="32E9A181" w:rsidR="00E447C5" w:rsidRPr="00ED172B" w:rsidRDefault="00860830" w:rsidP="00186420">
            <w:pPr>
              <w:jc w:val="center"/>
              <w:rPr>
                <w:rFonts w:cs="Arial"/>
                <w:color w:val="000000" w:themeColor="text1"/>
                <w:szCs w:val="16"/>
              </w:rPr>
            </w:pPr>
            <w:r w:rsidRPr="00ED172B">
              <w:rPr>
                <w:rFonts w:cs="Arial"/>
                <w:color w:val="000000" w:themeColor="text1"/>
                <w:szCs w:val="16"/>
              </w:rPr>
              <w:t>18.83%</w:t>
            </w:r>
          </w:p>
        </w:tc>
      </w:tr>
      <w:tr w:rsidR="00ED172B" w:rsidRPr="00ED172B" w14:paraId="3F82D5BB" w14:textId="77777777" w:rsidTr="00986B99">
        <w:trPr>
          <w:trHeight w:val="361"/>
        </w:trPr>
        <w:tc>
          <w:tcPr>
            <w:tcW w:w="3406" w:type="pct"/>
            <w:shd w:val="clear" w:color="auto" w:fill="auto"/>
            <w:vAlign w:val="center"/>
          </w:tcPr>
          <w:p w14:paraId="67D0449A" w14:textId="77777777" w:rsidR="00E447C5" w:rsidRPr="00ED172B" w:rsidRDefault="00E447C5" w:rsidP="00E447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3BE4B185" w14:textId="4BCC54D9" w:rsidR="00E447C5" w:rsidRPr="00ED172B" w:rsidRDefault="00860830" w:rsidP="00186420">
            <w:pPr>
              <w:jc w:val="center"/>
              <w:rPr>
                <w:rFonts w:cs="Arial"/>
                <w:color w:val="000000" w:themeColor="text1"/>
                <w:szCs w:val="16"/>
              </w:rPr>
            </w:pPr>
            <w:r w:rsidRPr="00ED172B">
              <w:rPr>
                <w:rFonts w:cs="Arial"/>
                <w:color w:val="000000" w:themeColor="text1"/>
                <w:szCs w:val="16"/>
              </w:rPr>
              <w:t>933</w:t>
            </w:r>
          </w:p>
        </w:tc>
        <w:tc>
          <w:tcPr>
            <w:tcW w:w="797" w:type="pct"/>
            <w:shd w:val="clear" w:color="auto" w:fill="auto"/>
            <w:vAlign w:val="center"/>
          </w:tcPr>
          <w:p w14:paraId="4F7B1288" w14:textId="47E5A303" w:rsidR="00E447C5" w:rsidRPr="00ED172B" w:rsidRDefault="00860830" w:rsidP="00186420">
            <w:pPr>
              <w:jc w:val="center"/>
              <w:rPr>
                <w:rFonts w:cs="Arial"/>
                <w:color w:val="000000" w:themeColor="text1"/>
                <w:szCs w:val="16"/>
              </w:rPr>
            </w:pPr>
            <w:r w:rsidRPr="00ED172B">
              <w:rPr>
                <w:rFonts w:cs="Arial"/>
                <w:color w:val="000000" w:themeColor="text1"/>
                <w:szCs w:val="16"/>
              </w:rPr>
              <w:t>52.59%</w:t>
            </w:r>
          </w:p>
        </w:tc>
      </w:tr>
      <w:tr w:rsidR="00ED172B" w:rsidRPr="00ED172B" w14:paraId="790CC54F" w14:textId="77777777" w:rsidTr="00986B99">
        <w:trPr>
          <w:trHeight w:val="361"/>
        </w:trPr>
        <w:tc>
          <w:tcPr>
            <w:tcW w:w="3406" w:type="pct"/>
            <w:shd w:val="clear" w:color="auto" w:fill="auto"/>
            <w:vAlign w:val="center"/>
          </w:tcPr>
          <w:p w14:paraId="194E371C" w14:textId="77777777" w:rsidR="00E447C5" w:rsidRPr="00ED172B" w:rsidRDefault="00E447C5" w:rsidP="00E447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68A4EE48" w14:textId="78DFD3C2" w:rsidR="00E447C5" w:rsidRPr="00ED172B" w:rsidRDefault="00860830" w:rsidP="00186420">
            <w:pPr>
              <w:jc w:val="center"/>
              <w:rPr>
                <w:rFonts w:cs="Arial"/>
                <w:color w:val="000000" w:themeColor="text1"/>
                <w:szCs w:val="16"/>
              </w:rPr>
            </w:pPr>
            <w:r w:rsidRPr="00ED172B">
              <w:rPr>
                <w:rFonts w:cs="Arial"/>
                <w:color w:val="000000" w:themeColor="text1"/>
                <w:szCs w:val="16"/>
              </w:rPr>
              <w:t>407</w:t>
            </w:r>
          </w:p>
        </w:tc>
        <w:tc>
          <w:tcPr>
            <w:tcW w:w="797" w:type="pct"/>
            <w:shd w:val="clear" w:color="auto" w:fill="auto"/>
            <w:vAlign w:val="center"/>
          </w:tcPr>
          <w:p w14:paraId="1A563A71" w14:textId="4FAB7910" w:rsidR="00E447C5" w:rsidRPr="00ED172B" w:rsidRDefault="00860830" w:rsidP="00186420">
            <w:pPr>
              <w:jc w:val="center"/>
              <w:rPr>
                <w:rFonts w:cs="Arial"/>
                <w:color w:val="000000" w:themeColor="text1"/>
                <w:szCs w:val="16"/>
              </w:rPr>
            </w:pPr>
            <w:r w:rsidRPr="00ED172B">
              <w:rPr>
                <w:rFonts w:cs="Arial"/>
                <w:color w:val="000000" w:themeColor="text1"/>
                <w:szCs w:val="16"/>
              </w:rPr>
              <w:t>22.94%</w:t>
            </w:r>
          </w:p>
        </w:tc>
      </w:tr>
      <w:tr w:rsidR="00ED172B" w:rsidRPr="00ED172B" w14:paraId="36022838" w14:textId="77777777" w:rsidTr="00986B99">
        <w:trPr>
          <w:trHeight w:val="361"/>
        </w:trPr>
        <w:tc>
          <w:tcPr>
            <w:tcW w:w="3406" w:type="pct"/>
            <w:shd w:val="clear" w:color="auto" w:fill="auto"/>
            <w:vAlign w:val="center"/>
          </w:tcPr>
          <w:p w14:paraId="79FA53BE" w14:textId="77777777" w:rsidR="00E447C5" w:rsidRPr="00ED172B" w:rsidRDefault="00E447C5" w:rsidP="00E447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136B9D88" w14:textId="3DCBABE4" w:rsidR="00E447C5" w:rsidRPr="00ED172B" w:rsidRDefault="00860830" w:rsidP="00186420">
            <w:pPr>
              <w:jc w:val="center"/>
              <w:rPr>
                <w:rFonts w:cs="Arial"/>
                <w:color w:val="000000" w:themeColor="text1"/>
                <w:szCs w:val="16"/>
              </w:rPr>
            </w:pPr>
            <w:r w:rsidRPr="00ED172B">
              <w:rPr>
                <w:rFonts w:cs="Arial"/>
                <w:color w:val="000000" w:themeColor="text1"/>
                <w:szCs w:val="16"/>
              </w:rPr>
              <w:t>91</w:t>
            </w:r>
          </w:p>
        </w:tc>
        <w:tc>
          <w:tcPr>
            <w:tcW w:w="797" w:type="pct"/>
            <w:shd w:val="clear" w:color="auto" w:fill="auto"/>
            <w:vAlign w:val="center"/>
          </w:tcPr>
          <w:p w14:paraId="2287277A" w14:textId="005045E4" w:rsidR="00E447C5" w:rsidRPr="00ED172B" w:rsidRDefault="00860830" w:rsidP="00186420">
            <w:pPr>
              <w:jc w:val="center"/>
              <w:rPr>
                <w:rFonts w:cs="Arial"/>
                <w:color w:val="000000" w:themeColor="text1"/>
                <w:szCs w:val="16"/>
              </w:rPr>
            </w:pPr>
            <w:r w:rsidRPr="00ED172B">
              <w:rPr>
                <w:rFonts w:cs="Arial"/>
                <w:color w:val="000000" w:themeColor="text1"/>
                <w:szCs w:val="16"/>
              </w:rPr>
              <w:t>5.13%</w:t>
            </w:r>
          </w:p>
        </w:tc>
      </w:tr>
    </w:tbl>
    <w:p w14:paraId="0BCDCF54"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2"/>
      </w:tblPr>
      <w:tblGrid>
        <w:gridCol w:w="2515"/>
        <w:gridCol w:w="1080"/>
        <w:gridCol w:w="1260"/>
        <w:gridCol w:w="1349"/>
        <w:gridCol w:w="1172"/>
        <w:gridCol w:w="1260"/>
        <w:gridCol w:w="1079"/>
        <w:gridCol w:w="1075"/>
      </w:tblGrid>
      <w:tr w:rsidR="00ED172B" w:rsidRPr="00ED172B" w14:paraId="4E319C9C" w14:textId="77777777" w:rsidTr="00986B99">
        <w:trPr>
          <w:trHeight w:val="354"/>
          <w:tblHeader/>
        </w:trPr>
        <w:tc>
          <w:tcPr>
            <w:tcW w:w="1165" w:type="pct"/>
            <w:shd w:val="clear" w:color="auto" w:fill="auto"/>
            <w:vAlign w:val="bottom"/>
          </w:tcPr>
          <w:p w14:paraId="71977AF7" w14:textId="30E3DE56" w:rsidR="00037032" w:rsidRPr="00A40EE1" w:rsidRDefault="008320B5" w:rsidP="00037032">
            <w:pPr>
              <w:jc w:val="center"/>
              <w:rPr>
                <w:rFonts w:cs="Arial"/>
                <w:b/>
                <w:bCs/>
                <w:color w:val="000000" w:themeColor="text1"/>
                <w:szCs w:val="16"/>
              </w:rPr>
            </w:pPr>
            <w:r>
              <w:rPr>
                <w:rFonts w:cs="Arial"/>
                <w:b/>
                <w:bCs/>
                <w:color w:val="000000" w:themeColor="text1"/>
                <w:szCs w:val="16"/>
              </w:rPr>
              <w:t>Outcome A</w:t>
            </w:r>
          </w:p>
        </w:tc>
        <w:tc>
          <w:tcPr>
            <w:tcW w:w="500" w:type="pct"/>
            <w:shd w:val="clear" w:color="auto" w:fill="auto"/>
            <w:vAlign w:val="bottom"/>
          </w:tcPr>
          <w:p w14:paraId="5B555170"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73220B5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14:paraId="7C1986F4" w14:textId="555D950E" w:rsidR="00037032" w:rsidRPr="00ED172B" w:rsidRDefault="00CD74B5" w:rsidP="00037032">
            <w:pPr>
              <w:jc w:val="center"/>
              <w:rPr>
                <w:rFonts w:cs="Arial"/>
                <w:b/>
                <w:color w:val="000000" w:themeColor="text1"/>
                <w:szCs w:val="16"/>
              </w:rPr>
            </w:pPr>
            <w:r>
              <w:rPr>
                <w:rFonts w:cs="Arial"/>
                <w:b/>
                <w:color w:val="000000" w:themeColor="text1"/>
                <w:szCs w:val="16"/>
              </w:rPr>
              <w:t>FFY 2021 Data</w:t>
            </w:r>
          </w:p>
        </w:tc>
        <w:tc>
          <w:tcPr>
            <w:tcW w:w="543" w:type="pct"/>
            <w:shd w:val="clear" w:color="auto" w:fill="auto"/>
            <w:vAlign w:val="bottom"/>
          </w:tcPr>
          <w:p w14:paraId="7A5B3F24" w14:textId="022C1281" w:rsidR="00037032" w:rsidRPr="00ED172B" w:rsidRDefault="00F22D09" w:rsidP="00037032">
            <w:pPr>
              <w:jc w:val="center"/>
              <w:rPr>
                <w:rFonts w:cs="Arial"/>
                <w:b/>
                <w:color w:val="000000" w:themeColor="text1"/>
                <w:szCs w:val="16"/>
              </w:rPr>
            </w:pPr>
            <w:r>
              <w:rPr>
                <w:rFonts w:cs="Arial"/>
                <w:b/>
                <w:color w:val="000000" w:themeColor="text1"/>
                <w:szCs w:val="16"/>
              </w:rPr>
              <w:t>FFY 2022 Target</w:t>
            </w:r>
          </w:p>
        </w:tc>
        <w:tc>
          <w:tcPr>
            <w:tcW w:w="584" w:type="pct"/>
            <w:shd w:val="clear" w:color="auto" w:fill="auto"/>
            <w:vAlign w:val="bottom"/>
          </w:tcPr>
          <w:p w14:paraId="199235B3" w14:textId="6FCE9F39" w:rsidR="00037032" w:rsidRPr="00ED172B" w:rsidRDefault="00F22D09" w:rsidP="00037032">
            <w:pPr>
              <w:jc w:val="center"/>
              <w:rPr>
                <w:rFonts w:cs="Arial"/>
                <w:b/>
                <w:color w:val="000000" w:themeColor="text1"/>
                <w:szCs w:val="16"/>
              </w:rPr>
            </w:pPr>
            <w:r>
              <w:rPr>
                <w:rFonts w:cs="Arial"/>
                <w:b/>
                <w:color w:val="000000" w:themeColor="text1"/>
                <w:szCs w:val="16"/>
              </w:rPr>
              <w:t>FFY 2022 Data</w:t>
            </w:r>
          </w:p>
        </w:tc>
        <w:tc>
          <w:tcPr>
            <w:tcW w:w="500" w:type="pct"/>
            <w:shd w:val="clear" w:color="auto" w:fill="auto"/>
            <w:vAlign w:val="bottom"/>
          </w:tcPr>
          <w:p w14:paraId="1922E3FB"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6A90C06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Slippage</w:t>
            </w:r>
          </w:p>
        </w:tc>
      </w:tr>
      <w:tr w:rsidR="00ED172B" w:rsidRPr="00ED172B" w14:paraId="5AB2DCE8" w14:textId="77777777" w:rsidTr="00986B99">
        <w:trPr>
          <w:trHeight w:val="361"/>
        </w:trPr>
        <w:tc>
          <w:tcPr>
            <w:tcW w:w="1165" w:type="pct"/>
            <w:shd w:val="clear" w:color="auto" w:fill="auto"/>
          </w:tcPr>
          <w:p w14:paraId="435DC63C" w14:textId="0E8ABD28" w:rsidR="000F1858" w:rsidRPr="00ED172B" w:rsidRDefault="000F1858" w:rsidP="000F1858">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00" w:type="pct"/>
            <w:shd w:val="clear" w:color="auto" w:fill="auto"/>
            <w:vAlign w:val="center"/>
          </w:tcPr>
          <w:p w14:paraId="7F8AB3E0" w14:textId="3F102292"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1,340</w:t>
            </w:r>
          </w:p>
        </w:tc>
        <w:tc>
          <w:tcPr>
            <w:tcW w:w="584" w:type="pct"/>
            <w:shd w:val="clear" w:color="auto" w:fill="auto"/>
            <w:vAlign w:val="center"/>
          </w:tcPr>
          <w:p w14:paraId="07238E8A" w14:textId="69664AD2"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1,683</w:t>
            </w:r>
          </w:p>
        </w:tc>
        <w:tc>
          <w:tcPr>
            <w:tcW w:w="625" w:type="pct"/>
            <w:shd w:val="clear" w:color="auto" w:fill="auto"/>
            <w:vAlign w:val="center"/>
          </w:tcPr>
          <w:p w14:paraId="7A2008D7" w14:textId="0F1DB00E" w:rsidR="000F1858" w:rsidRPr="00ED172B" w:rsidRDefault="00860830" w:rsidP="000F1858">
            <w:pPr>
              <w:jc w:val="center"/>
              <w:rPr>
                <w:rFonts w:cs="Arial"/>
                <w:color w:val="000000" w:themeColor="text1"/>
                <w:szCs w:val="16"/>
              </w:rPr>
            </w:pPr>
            <w:r w:rsidRPr="00ED172B">
              <w:rPr>
                <w:rFonts w:cs="Arial"/>
                <w:color w:val="000000" w:themeColor="text1"/>
                <w:szCs w:val="16"/>
              </w:rPr>
              <w:t>75.00%</w:t>
            </w:r>
          </w:p>
        </w:tc>
        <w:tc>
          <w:tcPr>
            <w:tcW w:w="543" w:type="pct"/>
            <w:shd w:val="clear" w:color="auto" w:fill="auto"/>
            <w:vAlign w:val="center"/>
          </w:tcPr>
          <w:p w14:paraId="3A000F99" w14:textId="456E911B" w:rsidR="000F1858" w:rsidRPr="00ED172B" w:rsidRDefault="0054124F" w:rsidP="00027F39">
            <w:pPr>
              <w:jc w:val="center"/>
              <w:rPr>
                <w:color w:val="000000" w:themeColor="text1"/>
              </w:rPr>
            </w:pPr>
            <w:r w:rsidRPr="00ED172B">
              <w:rPr>
                <w:color w:val="000000" w:themeColor="text1"/>
              </w:rPr>
              <w:t>69.49%</w:t>
            </w:r>
          </w:p>
        </w:tc>
        <w:tc>
          <w:tcPr>
            <w:tcW w:w="584" w:type="pct"/>
            <w:shd w:val="clear" w:color="auto" w:fill="auto"/>
            <w:vAlign w:val="center"/>
          </w:tcPr>
          <w:p w14:paraId="2F634536" w14:textId="3A03E0CA" w:rsidR="000F1858" w:rsidRPr="00ED172B" w:rsidRDefault="00860830" w:rsidP="000F1858">
            <w:pPr>
              <w:jc w:val="center"/>
              <w:rPr>
                <w:rFonts w:cs="Arial"/>
                <w:color w:val="000000" w:themeColor="text1"/>
                <w:szCs w:val="16"/>
              </w:rPr>
            </w:pPr>
            <w:r w:rsidRPr="00ED172B">
              <w:rPr>
                <w:rFonts w:cs="Arial"/>
                <w:color w:val="000000" w:themeColor="text1"/>
                <w:szCs w:val="16"/>
              </w:rPr>
              <w:t>79.62%</w:t>
            </w:r>
          </w:p>
        </w:tc>
        <w:tc>
          <w:tcPr>
            <w:tcW w:w="500" w:type="pct"/>
            <w:shd w:val="clear" w:color="auto" w:fill="auto"/>
            <w:vAlign w:val="center"/>
          </w:tcPr>
          <w:p w14:paraId="0E630049" w14:textId="69996151" w:rsidR="000F1858" w:rsidRPr="00ED172B" w:rsidRDefault="00860830" w:rsidP="000F1858">
            <w:pPr>
              <w:jc w:val="center"/>
              <w:rPr>
                <w:rFonts w:cs="Arial"/>
                <w:color w:val="000000" w:themeColor="text1"/>
                <w:szCs w:val="16"/>
              </w:rPr>
            </w:pPr>
            <w:r w:rsidRPr="00ED172B">
              <w:rPr>
                <w:rFonts w:cs="Arial"/>
                <w:color w:val="000000" w:themeColor="text1"/>
                <w:szCs w:val="16"/>
              </w:rPr>
              <w:t>Met target</w:t>
            </w:r>
          </w:p>
        </w:tc>
        <w:tc>
          <w:tcPr>
            <w:tcW w:w="498" w:type="pct"/>
            <w:shd w:val="clear" w:color="auto" w:fill="auto"/>
            <w:vAlign w:val="center"/>
          </w:tcPr>
          <w:p w14:paraId="070EB7EE" w14:textId="31358CAC" w:rsidR="000F1858" w:rsidRPr="00ED172B" w:rsidRDefault="00860830" w:rsidP="000F1858">
            <w:pPr>
              <w:jc w:val="center"/>
              <w:rPr>
                <w:rFonts w:cs="Arial"/>
                <w:color w:val="000000" w:themeColor="text1"/>
                <w:szCs w:val="16"/>
              </w:rPr>
            </w:pPr>
            <w:r w:rsidRPr="00ED172B">
              <w:rPr>
                <w:rFonts w:cs="Arial"/>
                <w:color w:val="000000" w:themeColor="text1"/>
                <w:szCs w:val="16"/>
              </w:rPr>
              <w:t>No Slippage</w:t>
            </w:r>
          </w:p>
        </w:tc>
      </w:tr>
      <w:tr w:rsidR="00ED172B" w:rsidRPr="00ED172B" w14:paraId="4B2322B3" w14:textId="77777777" w:rsidTr="00986B99">
        <w:trPr>
          <w:trHeight w:val="361"/>
        </w:trPr>
        <w:tc>
          <w:tcPr>
            <w:tcW w:w="1165" w:type="pct"/>
            <w:shd w:val="clear" w:color="auto" w:fill="auto"/>
          </w:tcPr>
          <w:p w14:paraId="760DFD83" w14:textId="224FEBBB" w:rsidR="00A52D95" w:rsidRPr="00ED172B" w:rsidRDefault="00A52D95" w:rsidP="00A52D9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00" w:type="pct"/>
            <w:shd w:val="clear" w:color="auto" w:fill="auto"/>
            <w:vAlign w:val="center"/>
          </w:tcPr>
          <w:p w14:paraId="11C3930A" w14:textId="5356AD2D"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498</w:t>
            </w:r>
          </w:p>
        </w:tc>
        <w:tc>
          <w:tcPr>
            <w:tcW w:w="584" w:type="pct"/>
            <w:shd w:val="clear" w:color="auto" w:fill="auto"/>
            <w:vAlign w:val="center"/>
          </w:tcPr>
          <w:p w14:paraId="16EC9145" w14:textId="5C23F21B"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1,774</w:t>
            </w:r>
          </w:p>
        </w:tc>
        <w:tc>
          <w:tcPr>
            <w:tcW w:w="625" w:type="pct"/>
            <w:shd w:val="clear" w:color="auto" w:fill="auto"/>
            <w:vAlign w:val="center"/>
          </w:tcPr>
          <w:p w14:paraId="0C8DC51C" w14:textId="628BA094" w:rsidR="00A52D95" w:rsidRPr="00ED172B" w:rsidRDefault="00860830" w:rsidP="00A52D95">
            <w:pPr>
              <w:jc w:val="center"/>
              <w:rPr>
                <w:rFonts w:cs="Arial"/>
                <w:color w:val="000000" w:themeColor="text1"/>
                <w:szCs w:val="16"/>
              </w:rPr>
            </w:pPr>
            <w:r w:rsidRPr="00ED172B">
              <w:rPr>
                <w:rFonts w:cs="Arial"/>
                <w:color w:val="000000" w:themeColor="text1"/>
                <w:szCs w:val="16"/>
              </w:rPr>
              <w:t>35.19%</w:t>
            </w:r>
          </w:p>
        </w:tc>
        <w:tc>
          <w:tcPr>
            <w:tcW w:w="543" w:type="pct"/>
            <w:shd w:val="clear" w:color="auto" w:fill="auto"/>
            <w:vAlign w:val="center"/>
          </w:tcPr>
          <w:p w14:paraId="35CF69C3" w14:textId="01F07FF3" w:rsidR="00A52D95" w:rsidRPr="00ED172B" w:rsidRDefault="002332D6">
            <w:pPr>
              <w:jc w:val="center"/>
              <w:rPr>
                <w:color w:val="000000" w:themeColor="text1"/>
              </w:rPr>
            </w:pPr>
            <w:r w:rsidRPr="00ED172B">
              <w:rPr>
                <w:color w:val="000000" w:themeColor="text1"/>
              </w:rPr>
              <w:t>40.34%</w:t>
            </w:r>
          </w:p>
        </w:tc>
        <w:tc>
          <w:tcPr>
            <w:tcW w:w="584" w:type="pct"/>
            <w:shd w:val="clear" w:color="auto" w:fill="auto"/>
            <w:vAlign w:val="center"/>
          </w:tcPr>
          <w:p w14:paraId="71192638" w14:textId="1D31FC82" w:rsidR="00A52D95" w:rsidRPr="00ED172B" w:rsidRDefault="00860830" w:rsidP="00A52D95">
            <w:pPr>
              <w:jc w:val="center"/>
              <w:rPr>
                <w:rFonts w:cs="Arial"/>
                <w:color w:val="000000" w:themeColor="text1"/>
                <w:szCs w:val="16"/>
              </w:rPr>
            </w:pPr>
            <w:r w:rsidRPr="00ED172B">
              <w:rPr>
                <w:rFonts w:cs="Arial"/>
                <w:color w:val="000000" w:themeColor="text1"/>
                <w:szCs w:val="16"/>
              </w:rPr>
              <w:t>28.07%</w:t>
            </w:r>
          </w:p>
        </w:tc>
        <w:tc>
          <w:tcPr>
            <w:tcW w:w="500" w:type="pct"/>
            <w:shd w:val="clear" w:color="auto" w:fill="auto"/>
            <w:vAlign w:val="center"/>
          </w:tcPr>
          <w:p w14:paraId="6CDC1E03" w14:textId="14CAA38F" w:rsidR="00A52D95" w:rsidRPr="00ED172B" w:rsidRDefault="00860830" w:rsidP="00A52D95">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53785A0A" w14:textId="15428806" w:rsidR="00A52D95" w:rsidRPr="00ED172B" w:rsidRDefault="00860830" w:rsidP="00A52D95">
            <w:pPr>
              <w:jc w:val="center"/>
              <w:rPr>
                <w:rFonts w:cs="Arial"/>
                <w:color w:val="000000" w:themeColor="text1"/>
                <w:szCs w:val="16"/>
              </w:rPr>
            </w:pPr>
            <w:r w:rsidRPr="00ED172B">
              <w:rPr>
                <w:rFonts w:cs="Arial"/>
                <w:color w:val="000000" w:themeColor="text1"/>
                <w:szCs w:val="16"/>
              </w:rPr>
              <w:t>Slippage</w:t>
            </w:r>
          </w:p>
        </w:tc>
      </w:tr>
    </w:tbl>
    <w:p w14:paraId="6D47C23C" w14:textId="4FEF2F28" w:rsidR="00814758" w:rsidRPr="00ED172B" w:rsidRDefault="00814758" w:rsidP="00814758">
      <w:pPr>
        <w:rPr>
          <w:rFonts w:cs="Arial"/>
          <w:b/>
          <w:i/>
          <w:color w:val="000000" w:themeColor="text1"/>
          <w:szCs w:val="16"/>
        </w:rPr>
      </w:pPr>
      <w:r w:rsidRPr="00ED172B">
        <w:rPr>
          <w:rFonts w:cs="Arial"/>
          <w:b/>
          <w:color w:val="000000" w:themeColor="text1"/>
          <w:szCs w:val="16"/>
        </w:rPr>
        <w:t xml:space="preserve">Provide reasons for A2 slippage, if applicable </w:t>
      </w:r>
    </w:p>
    <w:p w14:paraId="74F37393" w14:textId="6858F2AD" w:rsidR="00814758" w:rsidRDefault="001E39E3" w:rsidP="001E39E3">
      <w:pPr>
        <w:rPr>
          <w:color w:val="000000" w:themeColor="text1"/>
        </w:rPr>
      </w:pPr>
      <w:r w:rsidRPr="00ED172B">
        <w:rPr>
          <w:color w:val="000000" w:themeColor="text1"/>
        </w:rPr>
        <w:t xml:space="preserve">Nevada demonstrated slippage and did not meet the target for Outcome A2. </w:t>
      </w:r>
      <w:proofErr w:type="gramStart"/>
      <w:r w:rsidRPr="00ED172B">
        <w:rPr>
          <w:color w:val="000000" w:themeColor="text1"/>
        </w:rPr>
        <w:t>In order to</w:t>
      </w:r>
      <w:proofErr w:type="gramEnd"/>
      <w:r w:rsidRPr="00ED172B">
        <w:rPr>
          <w:color w:val="000000" w:themeColor="text1"/>
        </w:rPr>
        <w:t xml:space="preserve"> determine the root cause leading to this slippage, analysis of FFY 2022 data was completed. The analyses of the data included looking at: a child's length of time in service, eligibility category, and age at entry. Reasons for slippage may include the COS ratings for this year's set of children are ratings for different children with differing diagnoses, abilities and outcomes. In Nevada the state EI programs serve </w:t>
      </w:r>
      <w:proofErr w:type="gramStart"/>
      <w:r w:rsidRPr="00ED172B">
        <w:rPr>
          <w:color w:val="000000" w:themeColor="text1"/>
        </w:rPr>
        <w:t>the majority of</w:t>
      </w:r>
      <w:proofErr w:type="gramEnd"/>
      <w:r w:rsidRPr="00ED172B">
        <w:rPr>
          <w:color w:val="000000" w:themeColor="text1"/>
        </w:rPr>
        <w:t xml:space="preserve"> infants and toddlers with a diagnosed medical condition. These children require the highest level of involvement </w:t>
      </w:r>
      <w:proofErr w:type="gramStart"/>
      <w:r w:rsidRPr="00ED172B">
        <w:rPr>
          <w:color w:val="000000" w:themeColor="text1"/>
        </w:rPr>
        <w:t>in order to</w:t>
      </w:r>
      <w:proofErr w:type="gramEnd"/>
      <w:r w:rsidRPr="00ED172B">
        <w:rPr>
          <w:color w:val="000000" w:themeColor="text1"/>
        </w:rPr>
        <w:t xml:space="preserve"> meet their medical and overall developmental needs. Although they make progress, their change in trajectory is not </w:t>
      </w:r>
      <w:proofErr w:type="gramStart"/>
      <w:r w:rsidRPr="00ED172B">
        <w:rPr>
          <w:color w:val="000000" w:themeColor="text1"/>
        </w:rPr>
        <w:t>sufficient enough</w:t>
      </w:r>
      <w:proofErr w:type="gramEnd"/>
      <w:r w:rsidRPr="00ED172B">
        <w:rPr>
          <w:color w:val="000000" w:themeColor="text1"/>
        </w:rPr>
        <w:t xml:space="preserve"> to move closer to their same aged peers. </w:t>
      </w:r>
      <w:r w:rsidRPr="00ED172B">
        <w:rPr>
          <w:color w:val="000000" w:themeColor="text1"/>
        </w:rPr>
        <w:br/>
      </w:r>
      <w:r w:rsidRPr="00ED172B">
        <w:rPr>
          <w:color w:val="000000" w:themeColor="text1"/>
        </w:rPr>
        <w:br/>
        <w:t>Contributing factors which may have led to slippage include:</w:t>
      </w:r>
      <w:r w:rsidRPr="00ED172B">
        <w:rPr>
          <w:color w:val="000000" w:themeColor="text1"/>
        </w:rPr>
        <w:br/>
        <w:t xml:space="preserve">Nevada suffered widespread critical personnel shortages throughout the reporting period, across all programs and geographical regions including urban to rural frontier. Two community programs closed during the reporting period, one north (November 2022) and one south (May 2023). The closures put strain on the remaining programs through increased caseloads and increased referrals during critical personnel shortage. Families of these children were given the option to transfer to other regional programs of their choice or by rotation. Due to contact issues, and the sheer magnitude of transfers, there were some delays in services for these families. Some families chose to exit the early intervention services system as they approached their third birthdates rather than transferring to another program. Programs receiving the children transferred from these two programs were responsible for record reviews and offering/fulfilling compensatory visits as agreed to by families. Although Nevada was onboarding a new program during the period between the two closures, the new program was being on boarded and was not ready for the number of referrals and caseloads to accommodate the load of the closed program in the south. </w:t>
      </w:r>
      <w:r w:rsidRPr="00ED172B">
        <w:rPr>
          <w:color w:val="000000" w:themeColor="text1"/>
        </w:rPr>
        <w:br/>
      </w:r>
      <w:r w:rsidRPr="00ED172B">
        <w:rPr>
          <w:color w:val="000000" w:themeColor="text1"/>
        </w:rPr>
        <w:br/>
        <w:t xml:space="preserve">Data System (NEIDS) discovery meetings began in May 2022 and only increased in frequency, duration, and purpose throughout the reporting period. This strained the EI system even further, although the use of resources was necessary. </w:t>
      </w:r>
      <w:proofErr w:type="gramStart"/>
      <w:r w:rsidRPr="00ED172B">
        <w:rPr>
          <w:color w:val="000000" w:themeColor="text1"/>
        </w:rPr>
        <w:t>In order to</w:t>
      </w:r>
      <w:proofErr w:type="gramEnd"/>
      <w:r w:rsidRPr="00ED172B">
        <w:rPr>
          <w:color w:val="000000" w:themeColor="text1"/>
        </w:rPr>
        <w:t xml:space="preserve"> affect critical staff shortages Nevada Governor ARP funds were requested and utilized to create a grow-your-own Professional Development Center to assist developmental specialists in earning licensure </w:t>
      </w:r>
      <w:r w:rsidRPr="00ED172B">
        <w:rPr>
          <w:color w:val="000000" w:themeColor="text1"/>
        </w:rPr>
        <w:lastRenderedPageBreak/>
        <w:t>hours utilizing volunteer management staff. Again, this was necessary but burdensome on the system during the reporting period. A reduction of efforts and fidelity data collection for Pyramid Implementation and reduced coaching occurred for lack of resources. The combination of closures, straining of caseload sizes, multitude of NEIDS meetings, turnover, and program closures may have impacted slippage in this .</w:t>
      </w:r>
      <w:r w:rsidRPr="00ED172B">
        <w:rPr>
          <w:color w:val="000000" w:themeColor="text1"/>
        </w:rPr>
        <w:br/>
      </w:r>
      <w:r w:rsidRPr="00ED172B">
        <w:rPr>
          <w:color w:val="000000" w:themeColor="text1"/>
        </w:rPr>
        <w:br/>
        <w:t xml:space="preserve">As a result of slippage, the meaningful difference calculator developed by the Early Childhood Outcome (ECO) Center was used to determine if the State’s performance in this outcome truly had a meaningful difference compared to the State target and result data from the current and previous year. Based on the targets the data represented will have a statistically significant difference in the State’s performance as compared to the previous year’s targets. </w:t>
      </w:r>
    </w:p>
    <w:p w14:paraId="688F26F1" w14:textId="77777777" w:rsidR="001A4B29" w:rsidRPr="00ED172B" w:rsidRDefault="001A4B29">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3"/>
      </w:tblPr>
      <w:tblGrid>
        <w:gridCol w:w="7094"/>
        <w:gridCol w:w="1683"/>
        <w:gridCol w:w="2013"/>
      </w:tblGrid>
      <w:tr w:rsidR="008320B5" w:rsidRPr="00ED172B" w14:paraId="38ECA25F" w14:textId="77777777" w:rsidTr="00A40EE1">
        <w:trPr>
          <w:trHeight w:val="361"/>
          <w:tblHeader/>
        </w:trPr>
        <w:tc>
          <w:tcPr>
            <w:tcW w:w="3287" w:type="pct"/>
            <w:shd w:val="clear" w:color="auto" w:fill="auto"/>
            <w:vAlign w:val="bottom"/>
          </w:tcPr>
          <w:p w14:paraId="56D5DB7E" w14:textId="0F55E0EC" w:rsidR="008320B5" w:rsidRPr="00ED172B" w:rsidRDefault="008320B5" w:rsidP="008320B5">
            <w:pPr>
              <w:rPr>
                <w:rFonts w:cs="Arial"/>
                <w:color w:val="000000" w:themeColor="text1"/>
                <w:szCs w:val="16"/>
              </w:rPr>
            </w:pPr>
            <w:r>
              <w:rPr>
                <w:rFonts w:cs="Arial"/>
                <w:b/>
                <w:color w:val="000000" w:themeColor="text1"/>
                <w:szCs w:val="16"/>
              </w:rPr>
              <w:t xml:space="preserve">Outcome B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780" w:type="pct"/>
            <w:shd w:val="clear" w:color="auto" w:fill="auto"/>
            <w:vAlign w:val="center"/>
          </w:tcPr>
          <w:p w14:paraId="655258D9"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Number of Children</w:t>
            </w:r>
          </w:p>
        </w:tc>
        <w:tc>
          <w:tcPr>
            <w:tcW w:w="933" w:type="pct"/>
            <w:shd w:val="clear" w:color="auto" w:fill="auto"/>
          </w:tcPr>
          <w:p w14:paraId="23276223"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Percentage of Total</w:t>
            </w:r>
          </w:p>
        </w:tc>
      </w:tr>
      <w:tr w:rsidR="008320B5" w:rsidRPr="00ED172B" w14:paraId="26737EED" w14:textId="77777777" w:rsidTr="008320B5">
        <w:trPr>
          <w:trHeight w:val="361"/>
        </w:trPr>
        <w:tc>
          <w:tcPr>
            <w:tcW w:w="3287" w:type="pct"/>
            <w:shd w:val="clear" w:color="auto" w:fill="auto"/>
            <w:vAlign w:val="center"/>
          </w:tcPr>
          <w:p w14:paraId="691DDF31" w14:textId="77777777" w:rsidR="008320B5" w:rsidRPr="00ED172B" w:rsidRDefault="008320B5" w:rsidP="008320B5">
            <w:pPr>
              <w:rPr>
                <w:rFonts w:cs="Arial"/>
                <w:color w:val="000000" w:themeColor="text1"/>
                <w:szCs w:val="16"/>
              </w:rPr>
            </w:pPr>
            <w:r w:rsidRPr="00ED172B">
              <w:rPr>
                <w:rFonts w:cs="Arial"/>
                <w:color w:val="000000" w:themeColor="text1"/>
                <w:szCs w:val="16"/>
              </w:rPr>
              <w:t>a. Infants and toddlers who did not improve functioning</w:t>
            </w:r>
          </w:p>
        </w:tc>
        <w:tc>
          <w:tcPr>
            <w:tcW w:w="780" w:type="pct"/>
            <w:shd w:val="clear" w:color="auto" w:fill="auto"/>
            <w:vAlign w:val="center"/>
          </w:tcPr>
          <w:p w14:paraId="3A083BFC" w14:textId="1868720F" w:rsidR="008320B5" w:rsidRPr="00ED172B" w:rsidRDefault="008320B5" w:rsidP="008320B5">
            <w:pPr>
              <w:jc w:val="center"/>
              <w:rPr>
                <w:rFonts w:cs="Arial"/>
                <w:color w:val="000000" w:themeColor="text1"/>
                <w:szCs w:val="16"/>
              </w:rPr>
            </w:pPr>
            <w:r w:rsidRPr="00ED172B">
              <w:rPr>
                <w:rFonts w:cs="Arial"/>
                <w:color w:val="000000" w:themeColor="text1"/>
                <w:szCs w:val="16"/>
              </w:rPr>
              <w:t>7</w:t>
            </w:r>
          </w:p>
        </w:tc>
        <w:tc>
          <w:tcPr>
            <w:tcW w:w="933" w:type="pct"/>
            <w:shd w:val="clear" w:color="auto" w:fill="auto"/>
            <w:vAlign w:val="center"/>
          </w:tcPr>
          <w:p w14:paraId="68F1FC93" w14:textId="7D762D97" w:rsidR="008320B5" w:rsidRPr="00ED172B" w:rsidRDefault="008320B5" w:rsidP="008320B5">
            <w:pPr>
              <w:jc w:val="center"/>
              <w:rPr>
                <w:rFonts w:cs="Arial"/>
                <w:color w:val="000000" w:themeColor="text1"/>
                <w:szCs w:val="16"/>
              </w:rPr>
            </w:pPr>
            <w:r w:rsidRPr="00ED172B">
              <w:rPr>
                <w:rFonts w:cs="Arial"/>
                <w:color w:val="000000" w:themeColor="text1"/>
                <w:szCs w:val="16"/>
              </w:rPr>
              <w:t>0.39%</w:t>
            </w:r>
          </w:p>
        </w:tc>
      </w:tr>
      <w:tr w:rsidR="008320B5" w:rsidRPr="00ED172B" w14:paraId="288AFB66" w14:textId="77777777" w:rsidTr="008320B5">
        <w:trPr>
          <w:trHeight w:val="361"/>
        </w:trPr>
        <w:tc>
          <w:tcPr>
            <w:tcW w:w="3287" w:type="pct"/>
            <w:shd w:val="clear" w:color="auto" w:fill="auto"/>
            <w:vAlign w:val="center"/>
          </w:tcPr>
          <w:p w14:paraId="37D916AD" w14:textId="77777777" w:rsidR="008320B5" w:rsidRPr="00ED172B" w:rsidRDefault="008320B5" w:rsidP="008320B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80" w:type="pct"/>
            <w:shd w:val="clear" w:color="auto" w:fill="auto"/>
            <w:vAlign w:val="center"/>
          </w:tcPr>
          <w:p w14:paraId="1E47B6C1" w14:textId="25F0DF4F" w:rsidR="008320B5" w:rsidRPr="00ED172B" w:rsidRDefault="008320B5" w:rsidP="008320B5">
            <w:pPr>
              <w:jc w:val="center"/>
              <w:rPr>
                <w:rFonts w:cs="Arial"/>
                <w:color w:val="000000" w:themeColor="text1"/>
                <w:szCs w:val="16"/>
              </w:rPr>
            </w:pPr>
            <w:r w:rsidRPr="00ED172B">
              <w:rPr>
                <w:rFonts w:cs="Arial"/>
                <w:color w:val="000000" w:themeColor="text1"/>
                <w:szCs w:val="16"/>
              </w:rPr>
              <w:t>343</w:t>
            </w:r>
          </w:p>
        </w:tc>
        <w:tc>
          <w:tcPr>
            <w:tcW w:w="933" w:type="pct"/>
            <w:shd w:val="clear" w:color="auto" w:fill="auto"/>
            <w:vAlign w:val="center"/>
          </w:tcPr>
          <w:p w14:paraId="403ABDAA" w14:textId="14B26DF7" w:rsidR="008320B5" w:rsidRPr="00ED172B" w:rsidRDefault="008320B5" w:rsidP="008320B5">
            <w:pPr>
              <w:jc w:val="center"/>
              <w:rPr>
                <w:rFonts w:cs="Arial"/>
                <w:color w:val="000000" w:themeColor="text1"/>
                <w:szCs w:val="16"/>
              </w:rPr>
            </w:pPr>
            <w:r w:rsidRPr="00ED172B">
              <w:rPr>
                <w:rFonts w:cs="Arial"/>
                <w:color w:val="000000" w:themeColor="text1"/>
                <w:szCs w:val="16"/>
              </w:rPr>
              <w:t>19.33%</w:t>
            </w:r>
          </w:p>
        </w:tc>
      </w:tr>
      <w:tr w:rsidR="008320B5" w:rsidRPr="00ED172B" w14:paraId="73038092" w14:textId="77777777" w:rsidTr="008320B5">
        <w:trPr>
          <w:trHeight w:val="361"/>
        </w:trPr>
        <w:tc>
          <w:tcPr>
            <w:tcW w:w="3287" w:type="pct"/>
            <w:shd w:val="clear" w:color="auto" w:fill="auto"/>
            <w:vAlign w:val="center"/>
          </w:tcPr>
          <w:p w14:paraId="76DB4D52" w14:textId="77777777" w:rsidR="008320B5" w:rsidRPr="00ED172B" w:rsidRDefault="008320B5" w:rsidP="008320B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80" w:type="pct"/>
            <w:shd w:val="clear" w:color="auto" w:fill="auto"/>
            <w:vAlign w:val="center"/>
          </w:tcPr>
          <w:p w14:paraId="563237C0" w14:textId="24B3A202" w:rsidR="008320B5" w:rsidRPr="00ED172B" w:rsidRDefault="008320B5" w:rsidP="008320B5">
            <w:pPr>
              <w:jc w:val="center"/>
              <w:rPr>
                <w:rFonts w:cs="Arial"/>
                <w:color w:val="000000" w:themeColor="text1"/>
                <w:szCs w:val="16"/>
              </w:rPr>
            </w:pPr>
            <w:r w:rsidRPr="00ED172B">
              <w:rPr>
                <w:rFonts w:cs="Arial"/>
                <w:color w:val="000000" w:themeColor="text1"/>
                <w:szCs w:val="16"/>
              </w:rPr>
              <w:t>953</w:t>
            </w:r>
          </w:p>
        </w:tc>
        <w:tc>
          <w:tcPr>
            <w:tcW w:w="933" w:type="pct"/>
            <w:shd w:val="clear" w:color="auto" w:fill="auto"/>
            <w:vAlign w:val="center"/>
          </w:tcPr>
          <w:p w14:paraId="5F91AF6B" w14:textId="1C315B00" w:rsidR="008320B5" w:rsidRPr="00ED172B" w:rsidRDefault="008320B5" w:rsidP="008320B5">
            <w:pPr>
              <w:jc w:val="center"/>
              <w:rPr>
                <w:rFonts w:cs="Arial"/>
                <w:color w:val="000000" w:themeColor="text1"/>
                <w:szCs w:val="16"/>
              </w:rPr>
            </w:pPr>
            <w:r w:rsidRPr="00ED172B">
              <w:rPr>
                <w:rFonts w:cs="Arial"/>
                <w:color w:val="000000" w:themeColor="text1"/>
                <w:szCs w:val="16"/>
              </w:rPr>
              <w:t>53.72%</w:t>
            </w:r>
          </w:p>
        </w:tc>
      </w:tr>
      <w:tr w:rsidR="008320B5" w:rsidRPr="00ED172B" w14:paraId="3BA408AE" w14:textId="77777777" w:rsidTr="008320B5">
        <w:trPr>
          <w:trHeight w:val="361"/>
        </w:trPr>
        <w:tc>
          <w:tcPr>
            <w:tcW w:w="3287" w:type="pct"/>
            <w:shd w:val="clear" w:color="auto" w:fill="auto"/>
            <w:vAlign w:val="center"/>
          </w:tcPr>
          <w:p w14:paraId="68686609" w14:textId="77777777" w:rsidR="008320B5" w:rsidRPr="00ED172B" w:rsidRDefault="008320B5" w:rsidP="008320B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80" w:type="pct"/>
            <w:shd w:val="clear" w:color="auto" w:fill="auto"/>
            <w:vAlign w:val="center"/>
          </w:tcPr>
          <w:p w14:paraId="081F50FF" w14:textId="1A5AE512" w:rsidR="008320B5" w:rsidRPr="00ED172B" w:rsidRDefault="008320B5" w:rsidP="008320B5">
            <w:pPr>
              <w:jc w:val="center"/>
              <w:rPr>
                <w:rFonts w:cs="Arial"/>
                <w:color w:val="000000" w:themeColor="text1"/>
                <w:szCs w:val="16"/>
              </w:rPr>
            </w:pPr>
            <w:r w:rsidRPr="00ED172B">
              <w:rPr>
                <w:rFonts w:cs="Arial"/>
                <w:color w:val="000000" w:themeColor="text1"/>
                <w:szCs w:val="16"/>
              </w:rPr>
              <w:t>416</w:t>
            </w:r>
          </w:p>
        </w:tc>
        <w:tc>
          <w:tcPr>
            <w:tcW w:w="933" w:type="pct"/>
            <w:shd w:val="clear" w:color="auto" w:fill="auto"/>
            <w:vAlign w:val="center"/>
          </w:tcPr>
          <w:p w14:paraId="3473056D" w14:textId="2C7CC04E" w:rsidR="008320B5" w:rsidRPr="00ED172B" w:rsidRDefault="008320B5" w:rsidP="008320B5">
            <w:pPr>
              <w:jc w:val="center"/>
              <w:rPr>
                <w:rFonts w:cs="Arial"/>
                <w:color w:val="000000" w:themeColor="text1"/>
                <w:szCs w:val="16"/>
              </w:rPr>
            </w:pPr>
            <w:r w:rsidRPr="00ED172B">
              <w:rPr>
                <w:rFonts w:cs="Arial"/>
                <w:color w:val="000000" w:themeColor="text1"/>
                <w:szCs w:val="16"/>
              </w:rPr>
              <w:t>23.45%</w:t>
            </w:r>
          </w:p>
        </w:tc>
      </w:tr>
      <w:tr w:rsidR="008320B5" w:rsidRPr="00ED172B" w14:paraId="6C8244B9" w14:textId="77777777" w:rsidTr="008320B5">
        <w:trPr>
          <w:trHeight w:val="361"/>
        </w:trPr>
        <w:tc>
          <w:tcPr>
            <w:tcW w:w="3287" w:type="pct"/>
            <w:shd w:val="clear" w:color="auto" w:fill="auto"/>
            <w:vAlign w:val="center"/>
          </w:tcPr>
          <w:p w14:paraId="1EEDCC23" w14:textId="77777777" w:rsidR="008320B5" w:rsidRPr="00ED172B" w:rsidRDefault="008320B5" w:rsidP="008320B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80" w:type="pct"/>
            <w:shd w:val="clear" w:color="auto" w:fill="auto"/>
            <w:vAlign w:val="center"/>
          </w:tcPr>
          <w:p w14:paraId="23BD14C9" w14:textId="2C129BD0" w:rsidR="008320B5" w:rsidRPr="00ED172B" w:rsidRDefault="008320B5" w:rsidP="008320B5">
            <w:pPr>
              <w:jc w:val="center"/>
              <w:rPr>
                <w:rFonts w:cs="Arial"/>
                <w:color w:val="000000" w:themeColor="text1"/>
                <w:szCs w:val="16"/>
              </w:rPr>
            </w:pPr>
            <w:r w:rsidRPr="00ED172B">
              <w:rPr>
                <w:rFonts w:cs="Arial"/>
                <w:color w:val="000000" w:themeColor="text1"/>
                <w:szCs w:val="16"/>
              </w:rPr>
              <w:t>55</w:t>
            </w:r>
          </w:p>
        </w:tc>
        <w:tc>
          <w:tcPr>
            <w:tcW w:w="933" w:type="pct"/>
            <w:shd w:val="clear" w:color="auto" w:fill="auto"/>
            <w:vAlign w:val="center"/>
          </w:tcPr>
          <w:p w14:paraId="27D33418" w14:textId="48EA37BE" w:rsidR="008320B5" w:rsidRPr="00ED172B" w:rsidRDefault="008320B5" w:rsidP="008320B5">
            <w:pPr>
              <w:jc w:val="center"/>
              <w:rPr>
                <w:rFonts w:cs="Arial"/>
                <w:color w:val="000000" w:themeColor="text1"/>
                <w:szCs w:val="16"/>
              </w:rPr>
            </w:pPr>
            <w:r w:rsidRPr="00ED172B">
              <w:rPr>
                <w:rFonts w:cs="Arial"/>
                <w:color w:val="000000" w:themeColor="text1"/>
                <w:szCs w:val="16"/>
              </w:rPr>
              <w:t>3.10%</w:t>
            </w:r>
          </w:p>
        </w:tc>
      </w:tr>
    </w:tbl>
    <w:p w14:paraId="5C935C66" w14:textId="77777777" w:rsidR="001A4B29" w:rsidRPr="00ED172B" w:rsidRDefault="001A4B29" w:rsidP="00834FB7">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4"/>
      </w:tblPr>
      <w:tblGrid>
        <w:gridCol w:w="2425"/>
        <w:gridCol w:w="1170"/>
        <w:gridCol w:w="1260"/>
        <w:gridCol w:w="1350"/>
        <w:gridCol w:w="1440"/>
        <w:gridCol w:w="1260"/>
        <w:gridCol w:w="990"/>
        <w:gridCol w:w="895"/>
      </w:tblGrid>
      <w:tr w:rsidR="00ED172B" w:rsidRPr="00ED172B" w14:paraId="426DC907" w14:textId="77777777" w:rsidTr="00986B99">
        <w:trPr>
          <w:tblHeader/>
        </w:trPr>
        <w:tc>
          <w:tcPr>
            <w:tcW w:w="2425" w:type="dxa"/>
            <w:shd w:val="clear" w:color="auto" w:fill="auto"/>
            <w:vAlign w:val="bottom"/>
          </w:tcPr>
          <w:p w14:paraId="1C4CA42D" w14:textId="2558B442" w:rsidR="00037032" w:rsidRPr="00A40EE1" w:rsidRDefault="008320B5" w:rsidP="00B83404">
            <w:pPr>
              <w:rPr>
                <w:b/>
                <w:bCs/>
                <w:color w:val="000000" w:themeColor="text1"/>
              </w:rPr>
            </w:pPr>
            <w:r w:rsidRPr="00A40EE1">
              <w:rPr>
                <w:b/>
                <w:bCs/>
                <w:color w:val="000000" w:themeColor="text1"/>
              </w:rPr>
              <w:t>Outcome B</w:t>
            </w:r>
          </w:p>
        </w:tc>
        <w:tc>
          <w:tcPr>
            <w:tcW w:w="1170" w:type="dxa"/>
            <w:shd w:val="clear" w:color="auto" w:fill="auto"/>
            <w:vAlign w:val="bottom"/>
          </w:tcPr>
          <w:p w14:paraId="43431423" w14:textId="77777777" w:rsidR="00037032" w:rsidRPr="00ED172B" w:rsidRDefault="00037032" w:rsidP="00037032">
            <w:pPr>
              <w:keepNext/>
              <w:jc w:val="center"/>
              <w:rPr>
                <w:b/>
                <w:color w:val="000000" w:themeColor="text1"/>
                <w:szCs w:val="16"/>
              </w:rPr>
            </w:pPr>
            <w:r w:rsidRPr="00ED172B">
              <w:rPr>
                <w:b/>
                <w:color w:val="000000" w:themeColor="text1"/>
                <w:szCs w:val="16"/>
              </w:rPr>
              <w:t>Numerator</w:t>
            </w:r>
          </w:p>
        </w:tc>
        <w:tc>
          <w:tcPr>
            <w:tcW w:w="1260" w:type="dxa"/>
            <w:shd w:val="clear" w:color="auto" w:fill="auto"/>
            <w:vAlign w:val="bottom"/>
          </w:tcPr>
          <w:p w14:paraId="7F68489F" w14:textId="77777777" w:rsidR="00037032" w:rsidRPr="00ED172B" w:rsidRDefault="00037032" w:rsidP="00037032">
            <w:pPr>
              <w:keepNext/>
              <w:jc w:val="center"/>
              <w:rPr>
                <w:b/>
                <w:color w:val="000000" w:themeColor="text1"/>
                <w:szCs w:val="16"/>
              </w:rPr>
            </w:pPr>
            <w:r w:rsidRPr="00ED172B">
              <w:rPr>
                <w:b/>
                <w:color w:val="000000" w:themeColor="text1"/>
                <w:szCs w:val="16"/>
              </w:rPr>
              <w:t>Denominator</w:t>
            </w:r>
          </w:p>
        </w:tc>
        <w:tc>
          <w:tcPr>
            <w:tcW w:w="1350" w:type="dxa"/>
            <w:shd w:val="clear" w:color="auto" w:fill="auto"/>
            <w:vAlign w:val="bottom"/>
          </w:tcPr>
          <w:p w14:paraId="5EB6E7A8" w14:textId="64BF4F09" w:rsidR="00037032" w:rsidRPr="00ED172B" w:rsidRDefault="00CD74B5" w:rsidP="00037032">
            <w:pPr>
              <w:keepNext/>
              <w:jc w:val="center"/>
              <w:rPr>
                <w:b/>
                <w:color w:val="000000" w:themeColor="text1"/>
                <w:szCs w:val="16"/>
              </w:rPr>
            </w:pPr>
            <w:r>
              <w:rPr>
                <w:rFonts w:cs="Arial"/>
                <w:b/>
                <w:color w:val="000000" w:themeColor="text1"/>
                <w:szCs w:val="16"/>
              </w:rPr>
              <w:t>FFY 2021 Data</w:t>
            </w:r>
          </w:p>
        </w:tc>
        <w:tc>
          <w:tcPr>
            <w:tcW w:w="1440" w:type="dxa"/>
            <w:shd w:val="clear" w:color="auto" w:fill="auto"/>
            <w:vAlign w:val="bottom"/>
          </w:tcPr>
          <w:p w14:paraId="29E20774" w14:textId="1A47EA75" w:rsidR="00037032" w:rsidRPr="00ED172B" w:rsidRDefault="00F22D09" w:rsidP="00037032">
            <w:pPr>
              <w:keepNext/>
              <w:jc w:val="center"/>
              <w:rPr>
                <w:b/>
                <w:color w:val="000000" w:themeColor="text1"/>
                <w:szCs w:val="16"/>
              </w:rPr>
            </w:pPr>
            <w:r>
              <w:rPr>
                <w:rFonts w:cs="Arial"/>
                <w:b/>
                <w:color w:val="000000" w:themeColor="text1"/>
                <w:szCs w:val="16"/>
              </w:rPr>
              <w:t>FFY 2022 Target</w:t>
            </w:r>
          </w:p>
        </w:tc>
        <w:tc>
          <w:tcPr>
            <w:tcW w:w="1260" w:type="dxa"/>
            <w:shd w:val="clear" w:color="auto" w:fill="auto"/>
            <w:vAlign w:val="bottom"/>
          </w:tcPr>
          <w:p w14:paraId="5F44A470" w14:textId="53FA4A58" w:rsidR="00037032" w:rsidRPr="00ED172B" w:rsidRDefault="00F22D09" w:rsidP="00037032">
            <w:pPr>
              <w:keepNext/>
              <w:jc w:val="center"/>
              <w:rPr>
                <w:b/>
                <w:color w:val="000000" w:themeColor="text1"/>
                <w:szCs w:val="16"/>
              </w:rPr>
            </w:pPr>
            <w:r>
              <w:rPr>
                <w:rFonts w:cs="Arial"/>
                <w:b/>
                <w:color w:val="000000" w:themeColor="text1"/>
                <w:szCs w:val="16"/>
              </w:rPr>
              <w:t>FFY 2022 Data</w:t>
            </w:r>
          </w:p>
        </w:tc>
        <w:tc>
          <w:tcPr>
            <w:tcW w:w="990" w:type="dxa"/>
            <w:shd w:val="clear" w:color="auto" w:fill="auto"/>
            <w:vAlign w:val="bottom"/>
          </w:tcPr>
          <w:p w14:paraId="67653879" w14:textId="77777777" w:rsidR="00037032" w:rsidRPr="00ED172B" w:rsidRDefault="00037032" w:rsidP="00037032">
            <w:pPr>
              <w:keepNext/>
              <w:jc w:val="center"/>
              <w:rPr>
                <w:b/>
                <w:color w:val="000000" w:themeColor="text1"/>
                <w:szCs w:val="16"/>
              </w:rPr>
            </w:pPr>
            <w:r w:rsidRPr="00ED172B">
              <w:rPr>
                <w:b/>
                <w:color w:val="000000" w:themeColor="text1"/>
                <w:szCs w:val="16"/>
              </w:rPr>
              <w:t>Status</w:t>
            </w:r>
          </w:p>
        </w:tc>
        <w:tc>
          <w:tcPr>
            <w:tcW w:w="895" w:type="dxa"/>
            <w:shd w:val="clear" w:color="auto" w:fill="auto"/>
            <w:vAlign w:val="bottom"/>
          </w:tcPr>
          <w:p w14:paraId="3134675B" w14:textId="77777777" w:rsidR="00037032" w:rsidRPr="00ED172B" w:rsidRDefault="00037032" w:rsidP="00037032">
            <w:pPr>
              <w:keepNext/>
              <w:jc w:val="center"/>
              <w:rPr>
                <w:b/>
                <w:color w:val="000000" w:themeColor="text1"/>
                <w:szCs w:val="16"/>
              </w:rPr>
            </w:pPr>
            <w:r w:rsidRPr="00ED172B">
              <w:rPr>
                <w:b/>
                <w:color w:val="000000" w:themeColor="text1"/>
                <w:szCs w:val="16"/>
              </w:rPr>
              <w:t>Slippage</w:t>
            </w:r>
          </w:p>
        </w:tc>
      </w:tr>
      <w:tr w:rsidR="00ED172B" w:rsidRPr="00ED172B" w14:paraId="72C37BA4" w14:textId="77777777" w:rsidTr="00986B99">
        <w:tc>
          <w:tcPr>
            <w:tcW w:w="2425" w:type="dxa"/>
            <w:shd w:val="clear" w:color="auto" w:fill="auto"/>
          </w:tcPr>
          <w:p w14:paraId="2B9C0382" w14:textId="75222183" w:rsidR="0025243E" w:rsidRPr="00ED172B" w:rsidRDefault="0025243E" w:rsidP="0025243E">
            <w:pPr>
              <w:rPr>
                <w:color w:val="000000" w:themeColor="text1"/>
                <w:szCs w:val="16"/>
              </w:rPr>
            </w:pPr>
            <w:r w:rsidRPr="00ED172B">
              <w:rPr>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1170" w:type="dxa"/>
            <w:shd w:val="clear" w:color="auto" w:fill="auto"/>
            <w:vAlign w:val="center"/>
          </w:tcPr>
          <w:p w14:paraId="1B3F5F8E" w14:textId="16D7DA0C" w:rsidR="0025243E" w:rsidRPr="00ED172B" w:rsidRDefault="00860830" w:rsidP="0025243E">
            <w:pPr>
              <w:pStyle w:val="Explain"/>
              <w:jc w:val="center"/>
              <w:rPr>
                <w:color w:val="000000" w:themeColor="text1"/>
                <w:szCs w:val="16"/>
              </w:rPr>
            </w:pPr>
            <w:r w:rsidRPr="00ED172B">
              <w:rPr>
                <w:rFonts w:cs="Arial"/>
                <w:color w:val="000000" w:themeColor="text1"/>
                <w:szCs w:val="16"/>
              </w:rPr>
              <w:t>1,369</w:t>
            </w:r>
          </w:p>
        </w:tc>
        <w:tc>
          <w:tcPr>
            <w:tcW w:w="1260" w:type="dxa"/>
            <w:shd w:val="clear" w:color="auto" w:fill="auto"/>
            <w:vAlign w:val="center"/>
          </w:tcPr>
          <w:p w14:paraId="69418F71" w14:textId="0A3DF352" w:rsidR="0025243E" w:rsidRPr="00ED172B" w:rsidRDefault="00860830" w:rsidP="0025243E">
            <w:pPr>
              <w:pStyle w:val="Explain"/>
              <w:jc w:val="center"/>
              <w:rPr>
                <w:color w:val="000000" w:themeColor="text1"/>
                <w:szCs w:val="16"/>
              </w:rPr>
            </w:pPr>
            <w:r w:rsidRPr="00ED172B">
              <w:rPr>
                <w:rFonts w:cs="Arial"/>
                <w:color w:val="000000" w:themeColor="text1"/>
                <w:szCs w:val="16"/>
              </w:rPr>
              <w:t>1,719</w:t>
            </w:r>
          </w:p>
        </w:tc>
        <w:tc>
          <w:tcPr>
            <w:tcW w:w="1350" w:type="dxa"/>
            <w:shd w:val="clear" w:color="auto" w:fill="auto"/>
            <w:vAlign w:val="center"/>
          </w:tcPr>
          <w:p w14:paraId="1328DF7C" w14:textId="3BBB4246" w:rsidR="0025243E" w:rsidRPr="00ED172B" w:rsidRDefault="00860830" w:rsidP="0025243E">
            <w:pPr>
              <w:jc w:val="center"/>
              <w:rPr>
                <w:color w:val="000000" w:themeColor="text1"/>
                <w:szCs w:val="16"/>
              </w:rPr>
            </w:pPr>
            <w:r w:rsidRPr="00ED172B">
              <w:rPr>
                <w:rFonts w:cs="Arial"/>
                <w:color w:val="000000" w:themeColor="text1"/>
                <w:szCs w:val="16"/>
              </w:rPr>
              <w:t>76.06%</w:t>
            </w:r>
          </w:p>
        </w:tc>
        <w:tc>
          <w:tcPr>
            <w:tcW w:w="1440" w:type="dxa"/>
            <w:shd w:val="clear" w:color="auto" w:fill="auto"/>
            <w:vAlign w:val="center"/>
          </w:tcPr>
          <w:p w14:paraId="22124E13" w14:textId="0EE25560" w:rsidR="0025243E" w:rsidRPr="00ED172B" w:rsidRDefault="001E39E3" w:rsidP="001E39E3">
            <w:pPr>
              <w:jc w:val="center"/>
              <w:rPr>
                <w:color w:val="000000" w:themeColor="text1"/>
              </w:rPr>
            </w:pPr>
            <w:r w:rsidRPr="00ED172B">
              <w:rPr>
                <w:color w:val="000000" w:themeColor="text1"/>
              </w:rPr>
              <w:t>72.16%</w:t>
            </w:r>
          </w:p>
        </w:tc>
        <w:tc>
          <w:tcPr>
            <w:tcW w:w="1260" w:type="dxa"/>
            <w:shd w:val="clear" w:color="auto" w:fill="auto"/>
            <w:vAlign w:val="center"/>
          </w:tcPr>
          <w:p w14:paraId="3349E0F5" w14:textId="45710C91" w:rsidR="0025243E" w:rsidRPr="00ED172B" w:rsidRDefault="00860830" w:rsidP="0025243E">
            <w:pPr>
              <w:jc w:val="center"/>
              <w:rPr>
                <w:color w:val="000000" w:themeColor="text1"/>
                <w:szCs w:val="16"/>
              </w:rPr>
            </w:pPr>
            <w:r w:rsidRPr="00ED172B">
              <w:rPr>
                <w:rFonts w:cs="Arial"/>
                <w:color w:val="000000" w:themeColor="text1"/>
                <w:szCs w:val="16"/>
              </w:rPr>
              <w:t>79.64%</w:t>
            </w:r>
          </w:p>
        </w:tc>
        <w:tc>
          <w:tcPr>
            <w:tcW w:w="990" w:type="dxa"/>
            <w:shd w:val="clear" w:color="auto" w:fill="auto"/>
            <w:vAlign w:val="center"/>
          </w:tcPr>
          <w:p w14:paraId="3447D75E" w14:textId="06809E10" w:rsidR="0025243E" w:rsidRPr="00ED172B" w:rsidRDefault="00860830" w:rsidP="0025243E">
            <w:pPr>
              <w:jc w:val="center"/>
              <w:rPr>
                <w:color w:val="000000" w:themeColor="text1"/>
                <w:szCs w:val="16"/>
              </w:rPr>
            </w:pPr>
            <w:r w:rsidRPr="00ED172B">
              <w:rPr>
                <w:rFonts w:cs="Arial"/>
                <w:color w:val="000000" w:themeColor="text1"/>
                <w:szCs w:val="16"/>
              </w:rPr>
              <w:t>Met target</w:t>
            </w:r>
          </w:p>
        </w:tc>
        <w:tc>
          <w:tcPr>
            <w:tcW w:w="895" w:type="dxa"/>
            <w:shd w:val="clear" w:color="auto" w:fill="auto"/>
            <w:vAlign w:val="center"/>
          </w:tcPr>
          <w:p w14:paraId="431E0C1D" w14:textId="1EB28E25"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r w:rsidR="00ED172B" w:rsidRPr="00ED172B" w14:paraId="2CC355D5" w14:textId="77777777" w:rsidTr="00986B99">
        <w:tc>
          <w:tcPr>
            <w:tcW w:w="2425" w:type="dxa"/>
            <w:shd w:val="clear" w:color="auto" w:fill="auto"/>
          </w:tcPr>
          <w:p w14:paraId="3A58CD95" w14:textId="662FCD97" w:rsidR="0025243E" w:rsidRPr="00ED172B" w:rsidRDefault="0025243E" w:rsidP="0025243E">
            <w:pPr>
              <w:rPr>
                <w:color w:val="000000" w:themeColor="text1"/>
                <w:szCs w:val="16"/>
              </w:rPr>
            </w:pPr>
            <w:r w:rsidRPr="00ED172B">
              <w:rPr>
                <w:color w:val="000000" w:themeColor="text1"/>
                <w:szCs w:val="16"/>
              </w:rPr>
              <w:t>B2. The percent of infants and toddlers who were functioning within age expectations in Outcome B by the time they turned 3 years of age or exited the program</w:t>
            </w:r>
          </w:p>
        </w:tc>
        <w:tc>
          <w:tcPr>
            <w:tcW w:w="1170" w:type="dxa"/>
            <w:shd w:val="clear" w:color="auto" w:fill="auto"/>
            <w:vAlign w:val="center"/>
          </w:tcPr>
          <w:p w14:paraId="7BD3B0C8" w14:textId="05D543FE" w:rsidR="0025243E" w:rsidRPr="00ED172B" w:rsidRDefault="00860830" w:rsidP="0025243E">
            <w:pPr>
              <w:pStyle w:val="Explain"/>
              <w:jc w:val="center"/>
              <w:rPr>
                <w:color w:val="000000" w:themeColor="text1"/>
                <w:szCs w:val="16"/>
              </w:rPr>
            </w:pPr>
            <w:r w:rsidRPr="00ED172B">
              <w:rPr>
                <w:rFonts w:cs="Arial"/>
                <w:color w:val="000000" w:themeColor="text1"/>
                <w:szCs w:val="16"/>
              </w:rPr>
              <w:t>471</w:t>
            </w:r>
          </w:p>
        </w:tc>
        <w:tc>
          <w:tcPr>
            <w:tcW w:w="1260" w:type="dxa"/>
            <w:shd w:val="clear" w:color="auto" w:fill="auto"/>
            <w:vAlign w:val="center"/>
          </w:tcPr>
          <w:p w14:paraId="0331D8D4" w14:textId="0C26EA63" w:rsidR="0025243E" w:rsidRPr="00ED172B" w:rsidRDefault="00860830" w:rsidP="0025243E">
            <w:pPr>
              <w:pStyle w:val="Explain"/>
              <w:jc w:val="center"/>
              <w:rPr>
                <w:color w:val="000000" w:themeColor="text1"/>
                <w:szCs w:val="16"/>
              </w:rPr>
            </w:pPr>
            <w:r w:rsidRPr="00ED172B">
              <w:rPr>
                <w:rFonts w:cs="Arial"/>
                <w:color w:val="000000" w:themeColor="text1"/>
                <w:szCs w:val="16"/>
              </w:rPr>
              <w:t>1,774</w:t>
            </w:r>
          </w:p>
        </w:tc>
        <w:tc>
          <w:tcPr>
            <w:tcW w:w="1350" w:type="dxa"/>
            <w:shd w:val="clear" w:color="auto" w:fill="auto"/>
            <w:vAlign w:val="center"/>
          </w:tcPr>
          <w:p w14:paraId="2A57ED59" w14:textId="66F4F203" w:rsidR="0025243E" w:rsidRPr="00ED172B" w:rsidRDefault="00860830" w:rsidP="0025243E">
            <w:pPr>
              <w:jc w:val="center"/>
              <w:rPr>
                <w:color w:val="000000" w:themeColor="text1"/>
                <w:szCs w:val="16"/>
              </w:rPr>
            </w:pPr>
            <w:r w:rsidRPr="00ED172B">
              <w:rPr>
                <w:rFonts w:cs="Arial"/>
                <w:color w:val="000000" w:themeColor="text1"/>
                <w:szCs w:val="16"/>
              </w:rPr>
              <w:t>33.87%</w:t>
            </w:r>
          </w:p>
        </w:tc>
        <w:tc>
          <w:tcPr>
            <w:tcW w:w="1440" w:type="dxa"/>
            <w:shd w:val="clear" w:color="auto" w:fill="auto"/>
            <w:vAlign w:val="center"/>
          </w:tcPr>
          <w:p w14:paraId="0A3928E2" w14:textId="4D437C60" w:rsidR="0025243E" w:rsidRPr="00ED172B" w:rsidRDefault="001E39E3" w:rsidP="001E39E3">
            <w:pPr>
              <w:jc w:val="center"/>
              <w:rPr>
                <w:color w:val="000000" w:themeColor="text1"/>
              </w:rPr>
            </w:pPr>
            <w:r w:rsidRPr="00ED172B">
              <w:rPr>
                <w:color w:val="000000" w:themeColor="text1"/>
              </w:rPr>
              <w:t>38.64%</w:t>
            </w:r>
          </w:p>
        </w:tc>
        <w:tc>
          <w:tcPr>
            <w:tcW w:w="1260" w:type="dxa"/>
            <w:shd w:val="clear" w:color="auto" w:fill="auto"/>
            <w:vAlign w:val="center"/>
          </w:tcPr>
          <w:p w14:paraId="4DE21D66" w14:textId="24DBBCB4" w:rsidR="0025243E" w:rsidRPr="00ED172B" w:rsidRDefault="00860830" w:rsidP="0025243E">
            <w:pPr>
              <w:jc w:val="center"/>
              <w:rPr>
                <w:color w:val="000000" w:themeColor="text1"/>
                <w:szCs w:val="16"/>
              </w:rPr>
            </w:pPr>
            <w:r w:rsidRPr="00ED172B">
              <w:rPr>
                <w:rFonts w:cs="Arial"/>
                <w:color w:val="000000" w:themeColor="text1"/>
                <w:szCs w:val="16"/>
              </w:rPr>
              <w:t>26.55%</w:t>
            </w:r>
          </w:p>
        </w:tc>
        <w:tc>
          <w:tcPr>
            <w:tcW w:w="990" w:type="dxa"/>
            <w:shd w:val="clear" w:color="auto" w:fill="auto"/>
            <w:vAlign w:val="center"/>
          </w:tcPr>
          <w:p w14:paraId="768EADD7" w14:textId="4C831686"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shd w:val="clear" w:color="auto" w:fill="auto"/>
            <w:vAlign w:val="center"/>
          </w:tcPr>
          <w:p w14:paraId="5AAFFE80" w14:textId="1EDD2D3F" w:rsidR="0025243E" w:rsidRPr="00ED172B" w:rsidRDefault="00860830" w:rsidP="0025243E">
            <w:pPr>
              <w:jc w:val="center"/>
              <w:rPr>
                <w:color w:val="000000" w:themeColor="text1"/>
                <w:szCs w:val="16"/>
              </w:rPr>
            </w:pPr>
            <w:r w:rsidRPr="00ED172B">
              <w:rPr>
                <w:rFonts w:cs="Arial"/>
                <w:color w:val="000000" w:themeColor="text1"/>
                <w:szCs w:val="16"/>
              </w:rPr>
              <w:t>Slippage</w:t>
            </w:r>
          </w:p>
        </w:tc>
      </w:tr>
    </w:tbl>
    <w:p w14:paraId="23380375" w14:textId="5FE29863"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B2 slippage, if applicable </w:t>
      </w:r>
    </w:p>
    <w:p w14:paraId="36E975F9" w14:textId="38D3082C" w:rsidR="0025243E" w:rsidRDefault="001E39E3" w:rsidP="001E39E3">
      <w:pPr>
        <w:rPr>
          <w:color w:val="000000" w:themeColor="text1"/>
        </w:rPr>
      </w:pPr>
      <w:r w:rsidRPr="00ED172B">
        <w:rPr>
          <w:color w:val="000000" w:themeColor="text1"/>
        </w:rPr>
        <w:t xml:space="preserve">Nevada demonstrated slippage and did not meet the target for Outcome B2. </w:t>
      </w:r>
      <w:proofErr w:type="gramStart"/>
      <w:r w:rsidRPr="00ED172B">
        <w:rPr>
          <w:color w:val="000000" w:themeColor="text1"/>
        </w:rPr>
        <w:t>In order to</w:t>
      </w:r>
      <w:proofErr w:type="gramEnd"/>
      <w:r w:rsidRPr="00ED172B">
        <w:rPr>
          <w:color w:val="000000" w:themeColor="text1"/>
        </w:rPr>
        <w:t xml:space="preserve"> determine the root cause leading to this slippage, analysis of FFY 2022 data was completed. The analyses of the data included looking at: a child's length of time in service, eligibility category, and age at entry. Reasons for slippage may include the COS ratings for this year's set of children are ratings for different children with differing diagnoses, abilities and outcomes. In Nevada the state EI programs serve </w:t>
      </w:r>
      <w:proofErr w:type="gramStart"/>
      <w:r w:rsidRPr="00ED172B">
        <w:rPr>
          <w:color w:val="000000" w:themeColor="text1"/>
        </w:rPr>
        <w:t>the majority of</w:t>
      </w:r>
      <w:proofErr w:type="gramEnd"/>
      <w:r w:rsidRPr="00ED172B">
        <w:rPr>
          <w:color w:val="000000" w:themeColor="text1"/>
        </w:rPr>
        <w:t xml:space="preserve"> infants and toddlers with a diagnosed medical condition. These children require the highest level of involvement </w:t>
      </w:r>
      <w:proofErr w:type="gramStart"/>
      <w:r w:rsidRPr="00ED172B">
        <w:rPr>
          <w:color w:val="000000" w:themeColor="text1"/>
        </w:rPr>
        <w:t>in order to</w:t>
      </w:r>
      <w:proofErr w:type="gramEnd"/>
      <w:r w:rsidRPr="00ED172B">
        <w:rPr>
          <w:color w:val="000000" w:themeColor="text1"/>
        </w:rPr>
        <w:t xml:space="preserve"> meet their medical and overall developmental needs. Although they make progress, their change in trajectory is not </w:t>
      </w:r>
      <w:proofErr w:type="gramStart"/>
      <w:r w:rsidRPr="00ED172B">
        <w:rPr>
          <w:color w:val="000000" w:themeColor="text1"/>
        </w:rPr>
        <w:t>sufficient enough</w:t>
      </w:r>
      <w:proofErr w:type="gramEnd"/>
      <w:r w:rsidRPr="00ED172B">
        <w:rPr>
          <w:color w:val="000000" w:themeColor="text1"/>
        </w:rPr>
        <w:t xml:space="preserve"> to move closer to their same aged peers. </w:t>
      </w:r>
      <w:r w:rsidRPr="00ED172B">
        <w:rPr>
          <w:color w:val="000000" w:themeColor="text1"/>
        </w:rPr>
        <w:br/>
      </w:r>
      <w:r w:rsidRPr="00ED172B">
        <w:rPr>
          <w:color w:val="000000" w:themeColor="text1"/>
        </w:rPr>
        <w:br/>
        <w:t>Contributing factors which may have led to slippage include:</w:t>
      </w:r>
      <w:r w:rsidRPr="00ED172B">
        <w:rPr>
          <w:color w:val="000000" w:themeColor="text1"/>
        </w:rPr>
        <w:br/>
        <w:t xml:space="preserve">Nevada suffered widespread critical personnel shortages throughout the reporting period, across all programs and geographical regions including urban to rural frontier. Two community programs closed during the reporting period, one north (November 2022) and one south (May 2023). The closures put strain on the remaining programs through increased caseloads and increased referrals during critical personnel shortage. Families of these children were given the option to transfer to other regional programs of their choice or by rotation. Due to contact issues, and the sheer magnitude of transfers, there were some delays in services for these families. Some families chose to exit the early intervention services system as they approached their third birthdates rather than transferring to another program. Programs receiving the children transferred from these two programs were responsible for record reviews and offering/fulfilling compensatory visits as agreed to by families. Although Nevada was onboarding a new program during the period between the two closures, the new program was being on boarded and was not ready for the number of referrals and caseloads to accommodate the load of the closed program in the south. </w:t>
      </w:r>
      <w:r w:rsidRPr="00ED172B">
        <w:rPr>
          <w:color w:val="000000" w:themeColor="text1"/>
        </w:rPr>
        <w:br/>
      </w:r>
      <w:r w:rsidRPr="00ED172B">
        <w:rPr>
          <w:color w:val="000000" w:themeColor="text1"/>
        </w:rPr>
        <w:br/>
        <w:t xml:space="preserve">Data System (NEIDS) discovery meetings began in May 2022 and only increased in frequency, duration, and purpose throughout the reporting period. This strained the EI system even further, although the use of resources was necessary. </w:t>
      </w:r>
      <w:proofErr w:type="gramStart"/>
      <w:r w:rsidRPr="00ED172B">
        <w:rPr>
          <w:color w:val="000000" w:themeColor="text1"/>
        </w:rPr>
        <w:t>In order to</w:t>
      </w:r>
      <w:proofErr w:type="gramEnd"/>
      <w:r w:rsidRPr="00ED172B">
        <w:rPr>
          <w:color w:val="000000" w:themeColor="text1"/>
        </w:rPr>
        <w:t xml:space="preserve"> affect critical staff shortages Nevada Governor ARP funds were requested and utilized to create a grow-your-own Professional Development Center to assist developmental specialists in earning licensure hours utilizing volunteer management staff. Again, this was necessary but burdensome on the system during the reporting period. A reduction of efforts and fidelity data collection for Pyramid Implementation and reduced coaching occurred for lack of resources. The combination of closures, straining of caseload sizes, multitude of NEIDS meetings, turnover, and program closures may have impacted slippage in this .</w:t>
      </w:r>
      <w:r w:rsidRPr="00ED172B">
        <w:rPr>
          <w:color w:val="000000" w:themeColor="text1"/>
        </w:rPr>
        <w:br/>
      </w:r>
      <w:r w:rsidRPr="00ED172B">
        <w:rPr>
          <w:color w:val="000000" w:themeColor="text1"/>
        </w:rPr>
        <w:br/>
        <w:t xml:space="preserve">As a result of slippage, the meaningful difference calculator developed by the Early Childhood Outcome (ECO) Center was used to determine if the State’s performance in this outcome truly had a meaningful difference compared to the State target and result data from the current and previous year. Based on the targets the data represented will have a statistically significant difference in the State’s performance as compared to the previous year’s targets. </w:t>
      </w:r>
    </w:p>
    <w:p w14:paraId="59C78231" w14:textId="77777777" w:rsidR="001A4B29" w:rsidRPr="00ED172B" w:rsidRDefault="001A4B29">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5"/>
      </w:tblPr>
      <w:tblGrid>
        <w:gridCol w:w="7227"/>
        <w:gridCol w:w="1783"/>
        <w:gridCol w:w="1780"/>
      </w:tblGrid>
      <w:tr w:rsidR="00ED172B" w:rsidRPr="00ED172B" w14:paraId="0670BD1B" w14:textId="77777777" w:rsidTr="00986B99">
        <w:trPr>
          <w:trHeight w:val="361"/>
          <w:tblHeader/>
        </w:trPr>
        <w:tc>
          <w:tcPr>
            <w:tcW w:w="3349" w:type="pct"/>
            <w:shd w:val="clear" w:color="auto" w:fill="auto"/>
          </w:tcPr>
          <w:p w14:paraId="55DA6E56" w14:textId="69857475" w:rsidR="001A4B29" w:rsidRPr="00ED172B" w:rsidRDefault="008320B5" w:rsidP="00834FB7">
            <w:pPr>
              <w:rPr>
                <w:color w:val="000000" w:themeColor="text1"/>
                <w:szCs w:val="16"/>
              </w:rPr>
            </w:pPr>
            <w:r>
              <w:rPr>
                <w:rFonts w:cs="Arial"/>
                <w:b/>
                <w:color w:val="000000" w:themeColor="text1"/>
                <w:szCs w:val="16"/>
              </w:rPr>
              <w:lastRenderedPageBreak/>
              <w:t xml:space="preserve">Outcome C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826" w:type="pct"/>
            <w:shd w:val="clear" w:color="auto" w:fill="auto"/>
            <w:vAlign w:val="center"/>
          </w:tcPr>
          <w:p w14:paraId="37C7BF98" w14:textId="77777777" w:rsidR="001A4B29" w:rsidRPr="00ED172B" w:rsidRDefault="001A4B29" w:rsidP="00186420">
            <w:pPr>
              <w:jc w:val="center"/>
              <w:rPr>
                <w:b/>
                <w:color w:val="000000" w:themeColor="text1"/>
                <w:szCs w:val="16"/>
              </w:rPr>
            </w:pPr>
            <w:r w:rsidRPr="00ED172B">
              <w:rPr>
                <w:b/>
                <w:color w:val="000000" w:themeColor="text1"/>
                <w:szCs w:val="16"/>
              </w:rPr>
              <w:t>Number of Children</w:t>
            </w:r>
          </w:p>
        </w:tc>
        <w:tc>
          <w:tcPr>
            <w:tcW w:w="825" w:type="pct"/>
            <w:shd w:val="clear" w:color="auto" w:fill="auto"/>
          </w:tcPr>
          <w:p w14:paraId="050E08B5" w14:textId="77777777" w:rsidR="001A4B29" w:rsidRPr="00ED172B" w:rsidRDefault="001A4B29" w:rsidP="00186420">
            <w:pPr>
              <w:jc w:val="center"/>
              <w:rPr>
                <w:b/>
                <w:color w:val="000000" w:themeColor="text1"/>
                <w:szCs w:val="16"/>
              </w:rPr>
            </w:pPr>
            <w:r w:rsidRPr="00ED172B">
              <w:rPr>
                <w:b/>
                <w:color w:val="000000" w:themeColor="text1"/>
                <w:szCs w:val="16"/>
              </w:rPr>
              <w:t>Percentage of Total</w:t>
            </w:r>
          </w:p>
        </w:tc>
      </w:tr>
      <w:tr w:rsidR="00ED172B" w:rsidRPr="00ED172B" w14:paraId="7046EF17" w14:textId="77777777" w:rsidTr="00986B99">
        <w:trPr>
          <w:trHeight w:val="361"/>
        </w:trPr>
        <w:tc>
          <w:tcPr>
            <w:tcW w:w="3349" w:type="pct"/>
            <w:shd w:val="clear" w:color="auto" w:fill="auto"/>
            <w:vAlign w:val="center"/>
          </w:tcPr>
          <w:p w14:paraId="2E1374E0" w14:textId="77777777" w:rsidR="0025243E" w:rsidRPr="00ED172B" w:rsidRDefault="0025243E" w:rsidP="0025243E">
            <w:pPr>
              <w:rPr>
                <w:color w:val="000000" w:themeColor="text1"/>
                <w:szCs w:val="16"/>
              </w:rPr>
            </w:pPr>
            <w:r w:rsidRPr="00ED172B">
              <w:rPr>
                <w:color w:val="000000" w:themeColor="text1"/>
                <w:szCs w:val="16"/>
              </w:rPr>
              <w:t>a. Infants and toddlers who did not improve functioning</w:t>
            </w:r>
          </w:p>
        </w:tc>
        <w:tc>
          <w:tcPr>
            <w:tcW w:w="826" w:type="pct"/>
            <w:shd w:val="clear" w:color="auto" w:fill="auto"/>
            <w:vAlign w:val="center"/>
          </w:tcPr>
          <w:p w14:paraId="3B777477" w14:textId="18BAA08D" w:rsidR="0025243E" w:rsidRPr="00ED172B" w:rsidRDefault="00860830" w:rsidP="00186420">
            <w:pPr>
              <w:jc w:val="center"/>
              <w:rPr>
                <w:color w:val="000000" w:themeColor="text1"/>
                <w:szCs w:val="16"/>
              </w:rPr>
            </w:pPr>
            <w:r w:rsidRPr="00ED172B">
              <w:rPr>
                <w:rFonts w:cs="Arial"/>
                <w:color w:val="000000" w:themeColor="text1"/>
                <w:szCs w:val="16"/>
              </w:rPr>
              <w:t>5</w:t>
            </w:r>
          </w:p>
        </w:tc>
        <w:tc>
          <w:tcPr>
            <w:tcW w:w="825" w:type="pct"/>
            <w:shd w:val="clear" w:color="auto" w:fill="auto"/>
            <w:vAlign w:val="center"/>
          </w:tcPr>
          <w:p w14:paraId="70BBD0D2" w14:textId="12CFD7D1" w:rsidR="0025243E" w:rsidRPr="00ED172B" w:rsidRDefault="00860830" w:rsidP="00186420">
            <w:pPr>
              <w:jc w:val="center"/>
              <w:rPr>
                <w:color w:val="000000" w:themeColor="text1"/>
                <w:szCs w:val="16"/>
              </w:rPr>
            </w:pPr>
            <w:r w:rsidRPr="00ED172B">
              <w:rPr>
                <w:rFonts w:cs="Arial"/>
                <w:color w:val="000000" w:themeColor="text1"/>
                <w:szCs w:val="16"/>
              </w:rPr>
              <w:t>0.28%</w:t>
            </w:r>
          </w:p>
        </w:tc>
      </w:tr>
      <w:tr w:rsidR="00ED172B" w:rsidRPr="00ED172B" w14:paraId="24C9073D" w14:textId="77777777" w:rsidTr="00986B99">
        <w:trPr>
          <w:trHeight w:val="361"/>
        </w:trPr>
        <w:tc>
          <w:tcPr>
            <w:tcW w:w="3349" w:type="pct"/>
            <w:shd w:val="clear" w:color="auto" w:fill="auto"/>
            <w:vAlign w:val="center"/>
          </w:tcPr>
          <w:p w14:paraId="6C4F2749" w14:textId="77777777" w:rsidR="0025243E" w:rsidRPr="00ED172B" w:rsidRDefault="0025243E" w:rsidP="0025243E">
            <w:pPr>
              <w:rPr>
                <w:color w:val="000000" w:themeColor="text1"/>
                <w:szCs w:val="16"/>
              </w:rPr>
            </w:pPr>
            <w:r w:rsidRPr="00ED172B">
              <w:rPr>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33A304F2" w14:textId="12FCFEE3" w:rsidR="0025243E" w:rsidRPr="00ED172B" w:rsidRDefault="00860830" w:rsidP="00186420">
            <w:pPr>
              <w:jc w:val="center"/>
              <w:rPr>
                <w:color w:val="000000" w:themeColor="text1"/>
                <w:szCs w:val="16"/>
              </w:rPr>
            </w:pPr>
            <w:r w:rsidRPr="00ED172B">
              <w:rPr>
                <w:rFonts w:cs="Arial"/>
                <w:color w:val="000000" w:themeColor="text1"/>
                <w:szCs w:val="16"/>
              </w:rPr>
              <w:t>387</w:t>
            </w:r>
          </w:p>
        </w:tc>
        <w:tc>
          <w:tcPr>
            <w:tcW w:w="825" w:type="pct"/>
            <w:shd w:val="clear" w:color="auto" w:fill="auto"/>
            <w:vAlign w:val="center"/>
          </w:tcPr>
          <w:p w14:paraId="10018146" w14:textId="60B7FF05" w:rsidR="0025243E" w:rsidRPr="00ED172B" w:rsidRDefault="00860830" w:rsidP="00186420">
            <w:pPr>
              <w:jc w:val="center"/>
              <w:rPr>
                <w:color w:val="000000" w:themeColor="text1"/>
                <w:szCs w:val="16"/>
              </w:rPr>
            </w:pPr>
            <w:r w:rsidRPr="00ED172B">
              <w:rPr>
                <w:rFonts w:cs="Arial"/>
                <w:color w:val="000000" w:themeColor="text1"/>
                <w:szCs w:val="16"/>
              </w:rPr>
              <w:t>21.82%</w:t>
            </w:r>
          </w:p>
        </w:tc>
      </w:tr>
      <w:tr w:rsidR="00ED172B" w:rsidRPr="00ED172B" w14:paraId="30262144" w14:textId="77777777" w:rsidTr="00986B99">
        <w:trPr>
          <w:trHeight w:val="395"/>
        </w:trPr>
        <w:tc>
          <w:tcPr>
            <w:tcW w:w="3349" w:type="pct"/>
            <w:shd w:val="clear" w:color="auto" w:fill="auto"/>
            <w:vAlign w:val="center"/>
          </w:tcPr>
          <w:p w14:paraId="4F277A76" w14:textId="77777777" w:rsidR="0025243E" w:rsidRPr="00ED172B" w:rsidRDefault="0025243E" w:rsidP="0025243E">
            <w:pPr>
              <w:rPr>
                <w:color w:val="000000" w:themeColor="text1"/>
                <w:szCs w:val="16"/>
              </w:rPr>
            </w:pPr>
            <w:r w:rsidRPr="00ED172B">
              <w:rPr>
                <w:color w:val="000000" w:themeColor="text1"/>
                <w:szCs w:val="16"/>
              </w:rPr>
              <w:t>c. Infants and toddlers who improved functioning to a level nearer to same-aged peers but did not reach it</w:t>
            </w:r>
          </w:p>
        </w:tc>
        <w:tc>
          <w:tcPr>
            <w:tcW w:w="826" w:type="pct"/>
            <w:shd w:val="clear" w:color="auto" w:fill="auto"/>
            <w:vAlign w:val="center"/>
          </w:tcPr>
          <w:p w14:paraId="3891EFC3" w14:textId="0ECAF3AE" w:rsidR="0025243E" w:rsidRPr="00ED172B" w:rsidRDefault="00860830" w:rsidP="00186420">
            <w:pPr>
              <w:jc w:val="center"/>
              <w:rPr>
                <w:color w:val="000000" w:themeColor="text1"/>
                <w:szCs w:val="16"/>
              </w:rPr>
            </w:pPr>
            <w:r w:rsidRPr="00ED172B">
              <w:rPr>
                <w:rFonts w:cs="Arial"/>
                <w:color w:val="000000" w:themeColor="text1"/>
                <w:szCs w:val="16"/>
              </w:rPr>
              <w:t>830</w:t>
            </w:r>
          </w:p>
        </w:tc>
        <w:tc>
          <w:tcPr>
            <w:tcW w:w="825" w:type="pct"/>
            <w:shd w:val="clear" w:color="auto" w:fill="auto"/>
            <w:vAlign w:val="center"/>
          </w:tcPr>
          <w:p w14:paraId="51A7DF16" w14:textId="0DBF5071" w:rsidR="0025243E" w:rsidRPr="00ED172B" w:rsidRDefault="00860830" w:rsidP="00186420">
            <w:pPr>
              <w:jc w:val="center"/>
              <w:rPr>
                <w:color w:val="000000" w:themeColor="text1"/>
                <w:szCs w:val="16"/>
              </w:rPr>
            </w:pPr>
            <w:r w:rsidRPr="00ED172B">
              <w:rPr>
                <w:rFonts w:cs="Arial"/>
                <w:color w:val="000000" w:themeColor="text1"/>
                <w:szCs w:val="16"/>
              </w:rPr>
              <w:t>46.79%</w:t>
            </w:r>
          </w:p>
        </w:tc>
      </w:tr>
      <w:tr w:rsidR="00ED172B" w:rsidRPr="00ED172B" w14:paraId="29945F67" w14:textId="77777777" w:rsidTr="00986B99">
        <w:trPr>
          <w:trHeight w:val="361"/>
        </w:trPr>
        <w:tc>
          <w:tcPr>
            <w:tcW w:w="3349" w:type="pct"/>
            <w:shd w:val="clear" w:color="auto" w:fill="auto"/>
            <w:vAlign w:val="center"/>
          </w:tcPr>
          <w:p w14:paraId="41D6F21D" w14:textId="77777777" w:rsidR="0025243E" w:rsidRPr="00ED172B" w:rsidRDefault="0025243E" w:rsidP="0025243E">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6E131627" w14:textId="1AF309F1" w:rsidR="0025243E" w:rsidRPr="00ED172B" w:rsidRDefault="00860830" w:rsidP="00186420">
            <w:pPr>
              <w:jc w:val="center"/>
              <w:rPr>
                <w:rFonts w:cs="Arial"/>
                <w:color w:val="000000" w:themeColor="text1"/>
                <w:szCs w:val="16"/>
              </w:rPr>
            </w:pPr>
            <w:r w:rsidRPr="00ED172B">
              <w:rPr>
                <w:rFonts w:cs="Arial"/>
                <w:color w:val="000000" w:themeColor="text1"/>
                <w:szCs w:val="16"/>
              </w:rPr>
              <w:t>490</w:t>
            </w:r>
          </w:p>
        </w:tc>
        <w:tc>
          <w:tcPr>
            <w:tcW w:w="825" w:type="pct"/>
            <w:shd w:val="clear" w:color="auto" w:fill="auto"/>
            <w:vAlign w:val="center"/>
          </w:tcPr>
          <w:p w14:paraId="6D45CB47" w14:textId="7F7DA88F" w:rsidR="0025243E" w:rsidRPr="00ED172B" w:rsidRDefault="00860830" w:rsidP="00186420">
            <w:pPr>
              <w:jc w:val="center"/>
              <w:rPr>
                <w:rFonts w:cs="Arial"/>
                <w:color w:val="000000" w:themeColor="text1"/>
                <w:szCs w:val="16"/>
              </w:rPr>
            </w:pPr>
            <w:r w:rsidRPr="00ED172B">
              <w:rPr>
                <w:rFonts w:cs="Arial"/>
                <w:color w:val="000000" w:themeColor="text1"/>
                <w:szCs w:val="16"/>
              </w:rPr>
              <w:t>27.62%</w:t>
            </w:r>
          </w:p>
        </w:tc>
      </w:tr>
      <w:tr w:rsidR="00ED172B" w:rsidRPr="00ED172B" w14:paraId="52D1A85F" w14:textId="77777777" w:rsidTr="00986B99">
        <w:trPr>
          <w:trHeight w:val="361"/>
        </w:trPr>
        <w:tc>
          <w:tcPr>
            <w:tcW w:w="3349" w:type="pct"/>
            <w:shd w:val="clear" w:color="auto" w:fill="auto"/>
            <w:vAlign w:val="center"/>
          </w:tcPr>
          <w:p w14:paraId="3C1CA897" w14:textId="77777777" w:rsidR="0025243E" w:rsidRPr="00ED172B" w:rsidRDefault="0025243E" w:rsidP="0025243E">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327C8F35" w14:textId="78D13113" w:rsidR="0025243E" w:rsidRPr="00ED172B" w:rsidRDefault="00860830" w:rsidP="00186420">
            <w:pPr>
              <w:jc w:val="center"/>
              <w:rPr>
                <w:rFonts w:cs="Arial"/>
                <w:color w:val="000000" w:themeColor="text1"/>
                <w:szCs w:val="16"/>
              </w:rPr>
            </w:pPr>
            <w:r w:rsidRPr="00ED172B">
              <w:rPr>
                <w:rFonts w:cs="Arial"/>
                <w:color w:val="000000" w:themeColor="text1"/>
                <w:szCs w:val="16"/>
              </w:rPr>
              <w:t>62</w:t>
            </w:r>
          </w:p>
        </w:tc>
        <w:tc>
          <w:tcPr>
            <w:tcW w:w="825" w:type="pct"/>
            <w:shd w:val="clear" w:color="auto" w:fill="auto"/>
            <w:vAlign w:val="center"/>
          </w:tcPr>
          <w:p w14:paraId="6F8EC2BC" w14:textId="12B867EB" w:rsidR="0025243E" w:rsidRPr="00ED172B" w:rsidRDefault="00860830" w:rsidP="00186420">
            <w:pPr>
              <w:jc w:val="center"/>
              <w:rPr>
                <w:rFonts w:cs="Arial"/>
                <w:color w:val="000000" w:themeColor="text1"/>
                <w:szCs w:val="16"/>
              </w:rPr>
            </w:pPr>
            <w:r w:rsidRPr="00ED172B">
              <w:rPr>
                <w:rFonts w:cs="Arial"/>
                <w:color w:val="000000" w:themeColor="text1"/>
                <w:szCs w:val="16"/>
              </w:rPr>
              <w:t>3.49%</w:t>
            </w:r>
          </w:p>
        </w:tc>
      </w:tr>
    </w:tbl>
    <w:p w14:paraId="50352AF0"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6"/>
      </w:tblPr>
      <w:tblGrid>
        <w:gridCol w:w="2425"/>
        <w:gridCol w:w="1170"/>
        <w:gridCol w:w="1260"/>
        <w:gridCol w:w="1350"/>
        <w:gridCol w:w="1350"/>
        <w:gridCol w:w="1260"/>
        <w:gridCol w:w="990"/>
        <w:gridCol w:w="985"/>
      </w:tblGrid>
      <w:tr w:rsidR="00ED172B" w:rsidRPr="00ED172B" w14:paraId="05AFC67E" w14:textId="77777777" w:rsidTr="00986B99">
        <w:trPr>
          <w:tblHeader/>
        </w:trPr>
        <w:tc>
          <w:tcPr>
            <w:tcW w:w="2425" w:type="dxa"/>
            <w:shd w:val="clear" w:color="auto" w:fill="auto"/>
            <w:vAlign w:val="bottom"/>
          </w:tcPr>
          <w:p w14:paraId="22BD1EA4" w14:textId="0F370FDF" w:rsidR="00037032" w:rsidRPr="00A40EE1" w:rsidRDefault="008320B5" w:rsidP="00B83404">
            <w:pPr>
              <w:rPr>
                <w:b/>
                <w:bCs/>
                <w:color w:val="000000" w:themeColor="text1"/>
              </w:rPr>
            </w:pPr>
            <w:r>
              <w:rPr>
                <w:b/>
                <w:bCs/>
                <w:color w:val="000000" w:themeColor="text1"/>
              </w:rPr>
              <w:t>Outcome C</w:t>
            </w:r>
          </w:p>
        </w:tc>
        <w:tc>
          <w:tcPr>
            <w:tcW w:w="1170" w:type="dxa"/>
            <w:shd w:val="clear" w:color="auto" w:fill="auto"/>
            <w:vAlign w:val="bottom"/>
          </w:tcPr>
          <w:p w14:paraId="4C4D512B"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Numerator</w:t>
            </w:r>
          </w:p>
        </w:tc>
        <w:tc>
          <w:tcPr>
            <w:tcW w:w="1260" w:type="dxa"/>
            <w:shd w:val="clear" w:color="auto" w:fill="auto"/>
            <w:vAlign w:val="bottom"/>
          </w:tcPr>
          <w:p w14:paraId="4D2FC56C"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Denominator</w:t>
            </w:r>
          </w:p>
        </w:tc>
        <w:tc>
          <w:tcPr>
            <w:tcW w:w="1350" w:type="dxa"/>
            <w:shd w:val="clear" w:color="auto" w:fill="auto"/>
            <w:vAlign w:val="bottom"/>
          </w:tcPr>
          <w:p w14:paraId="3CB5A22B" w14:textId="4402E284" w:rsidR="00037032" w:rsidRPr="00ED172B" w:rsidRDefault="00CD74B5" w:rsidP="00037032">
            <w:pPr>
              <w:keepNext/>
              <w:jc w:val="center"/>
              <w:rPr>
                <w:rFonts w:cs="Arial"/>
                <w:b/>
                <w:color w:val="000000" w:themeColor="text1"/>
                <w:szCs w:val="16"/>
              </w:rPr>
            </w:pPr>
            <w:r>
              <w:rPr>
                <w:rFonts w:cs="Arial"/>
                <w:b/>
                <w:color w:val="000000" w:themeColor="text1"/>
                <w:szCs w:val="16"/>
              </w:rPr>
              <w:t>FFY 2021 Data</w:t>
            </w:r>
          </w:p>
        </w:tc>
        <w:tc>
          <w:tcPr>
            <w:tcW w:w="1350" w:type="dxa"/>
            <w:shd w:val="clear" w:color="auto" w:fill="auto"/>
            <w:vAlign w:val="bottom"/>
          </w:tcPr>
          <w:p w14:paraId="1F1B0E9C" w14:textId="3DB8C5E8" w:rsidR="00037032" w:rsidRPr="00ED172B" w:rsidRDefault="00F22D09" w:rsidP="00037032">
            <w:pPr>
              <w:keepNext/>
              <w:jc w:val="center"/>
              <w:rPr>
                <w:rFonts w:cs="Arial"/>
                <w:b/>
                <w:color w:val="000000" w:themeColor="text1"/>
                <w:szCs w:val="16"/>
              </w:rPr>
            </w:pPr>
            <w:r>
              <w:rPr>
                <w:rFonts w:cs="Arial"/>
                <w:b/>
                <w:color w:val="000000" w:themeColor="text1"/>
                <w:szCs w:val="16"/>
              </w:rPr>
              <w:t>FFY 2022 Target</w:t>
            </w:r>
          </w:p>
        </w:tc>
        <w:tc>
          <w:tcPr>
            <w:tcW w:w="1260" w:type="dxa"/>
            <w:shd w:val="clear" w:color="auto" w:fill="auto"/>
            <w:vAlign w:val="bottom"/>
          </w:tcPr>
          <w:p w14:paraId="6C0C38FB" w14:textId="748D3AF5" w:rsidR="00037032" w:rsidRPr="00ED172B" w:rsidRDefault="00F22D09" w:rsidP="00037032">
            <w:pPr>
              <w:keepNext/>
              <w:jc w:val="center"/>
              <w:rPr>
                <w:rFonts w:cs="Arial"/>
                <w:b/>
                <w:color w:val="000000" w:themeColor="text1"/>
                <w:szCs w:val="16"/>
              </w:rPr>
            </w:pPr>
            <w:r>
              <w:rPr>
                <w:rFonts w:cs="Arial"/>
                <w:b/>
                <w:color w:val="000000" w:themeColor="text1"/>
                <w:szCs w:val="16"/>
              </w:rPr>
              <w:t>FFY 2022 Data</w:t>
            </w:r>
          </w:p>
        </w:tc>
        <w:tc>
          <w:tcPr>
            <w:tcW w:w="990" w:type="dxa"/>
            <w:shd w:val="clear" w:color="auto" w:fill="auto"/>
            <w:vAlign w:val="bottom"/>
          </w:tcPr>
          <w:p w14:paraId="2BF2EBDF"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Status</w:t>
            </w:r>
          </w:p>
        </w:tc>
        <w:tc>
          <w:tcPr>
            <w:tcW w:w="985" w:type="dxa"/>
            <w:shd w:val="clear" w:color="auto" w:fill="auto"/>
            <w:vAlign w:val="bottom"/>
          </w:tcPr>
          <w:p w14:paraId="214F9910"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A7D7FC" w14:textId="77777777" w:rsidTr="00986B99">
        <w:tc>
          <w:tcPr>
            <w:tcW w:w="2425" w:type="dxa"/>
            <w:shd w:val="clear" w:color="auto" w:fill="auto"/>
          </w:tcPr>
          <w:p w14:paraId="1E7EA1A9" w14:textId="54DAFCC3" w:rsidR="008320B5" w:rsidRPr="00ED172B" w:rsidRDefault="0025243E" w:rsidP="0025243E">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1170" w:type="dxa"/>
            <w:shd w:val="clear" w:color="auto" w:fill="auto"/>
            <w:vAlign w:val="center"/>
          </w:tcPr>
          <w:p w14:paraId="7B0CA489" w14:textId="0E345F1D"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1,320</w:t>
            </w:r>
          </w:p>
        </w:tc>
        <w:tc>
          <w:tcPr>
            <w:tcW w:w="1260" w:type="dxa"/>
            <w:shd w:val="clear" w:color="auto" w:fill="auto"/>
            <w:vAlign w:val="center"/>
          </w:tcPr>
          <w:p w14:paraId="2F111B4D" w14:textId="2C47E0BE"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1,712</w:t>
            </w:r>
          </w:p>
        </w:tc>
        <w:tc>
          <w:tcPr>
            <w:tcW w:w="1350" w:type="dxa"/>
            <w:shd w:val="clear" w:color="auto" w:fill="auto"/>
            <w:vAlign w:val="center"/>
          </w:tcPr>
          <w:p w14:paraId="3E511271" w14:textId="0F6822C1" w:rsidR="0025243E" w:rsidRPr="00ED172B" w:rsidRDefault="00860830" w:rsidP="0025243E">
            <w:pPr>
              <w:jc w:val="center"/>
              <w:rPr>
                <w:rFonts w:cs="Arial"/>
                <w:color w:val="000000" w:themeColor="text1"/>
                <w:szCs w:val="16"/>
              </w:rPr>
            </w:pPr>
            <w:r w:rsidRPr="00ED172B">
              <w:rPr>
                <w:rFonts w:cs="Arial"/>
                <w:color w:val="000000" w:themeColor="text1"/>
                <w:szCs w:val="16"/>
              </w:rPr>
              <w:t>75.85%</w:t>
            </w:r>
          </w:p>
        </w:tc>
        <w:tc>
          <w:tcPr>
            <w:tcW w:w="1350" w:type="dxa"/>
            <w:shd w:val="clear" w:color="auto" w:fill="auto"/>
            <w:vAlign w:val="center"/>
          </w:tcPr>
          <w:p w14:paraId="473D5F1A" w14:textId="175ED4B5" w:rsidR="0025243E" w:rsidRPr="00ED172B" w:rsidRDefault="005C14C2" w:rsidP="00027F39">
            <w:pPr>
              <w:jc w:val="center"/>
              <w:rPr>
                <w:color w:val="000000" w:themeColor="text1"/>
              </w:rPr>
            </w:pPr>
            <w:r w:rsidRPr="00ED172B">
              <w:rPr>
                <w:color w:val="000000" w:themeColor="text1"/>
              </w:rPr>
              <w:t>66.48%</w:t>
            </w:r>
          </w:p>
        </w:tc>
        <w:tc>
          <w:tcPr>
            <w:tcW w:w="1260" w:type="dxa"/>
            <w:shd w:val="clear" w:color="auto" w:fill="auto"/>
            <w:vAlign w:val="center"/>
          </w:tcPr>
          <w:p w14:paraId="1876516C" w14:textId="288911F8" w:rsidR="0025243E" w:rsidRPr="00ED172B" w:rsidRDefault="00860830" w:rsidP="0025243E">
            <w:pPr>
              <w:jc w:val="center"/>
              <w:rPr>
                <w:rFonts w:cs="Arial"/>
                <w:color w:val="000000" w:themeColor="text1"/>
                <w:szCs w:val="16"/>
              </w:rPr>
            </w:pPr>
            <w:r w:rsidRPr="00ED172B">
              <w:rPr>
                <w:rFonts w:cs="Arial"/>
                <w:color w:val="000000" w:themeColor="text1"/>
                <w:szCs w:val="16"/>
              </w:rPr>
              <w:t>77.10%</w:t>
            </w:r>
          </w:p>
        </w:tc>
        <w:tc>
          <w:tcPr>
            <w:tcW w:w="990" w:type="dxa"/>
            <w:shd w:val="clear" w:color="auto" w:fill="auto"/>
            <w:vAlign w:val="center"/>
          </w:tcPr>
          <w:p w14:paraId="0E1E6212" w14:textId="189804F0" w:rsidR="0025243E" w:rsidRPr="00ED172B" w:rsidRDefault="00860830" w:rsidP="0025243E">
            <w:pPr>
              <w:jc w:val="center"/>
              <w:rPr>
                <w:rFonts w:cs="Arial"/>
                <w:color w:val="000000" w:themeColor="text1"/>
                <w:szCs w:val="16"/>
              </w:rPr>
            </w:pPr>
            <w:r w:rsidRPr="00ED172B">
              <w:rPr>
                <w:rFonts w:cs="Arial"/>
                <w:color w:val="000000" w:themeColor="text1"/>
                <w:szCs w:val="16"/>
              </w:rPr>
              <w:t>Met target</w:t>
            </w:r>
          </w:p>
        </w:tc>
        <w:tc>
          <w:tcPr>
            <w:tcW w:w="985" w:type="dxa"/>
            <w:shd w:val="clear" w:color="auto" w:fill="auto"/>
            <w:vAlign w:val="center"/>
          </w:tcPr>
          <w:p w14:paraId="3EA50B1B" w14:textId="3AB2B931"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r w:rsidR="00ED172B" w:rsidRPr="00ED172B" w14:paraId="357A4CC7" w14:textId="77777777" w:rsidTr="00986B99">
        <w:tc>
          <w:tcPr>
            <w:tcW w:w="2425" w:type="dxa"/>
            <w:shd w:val="clear" w:color="auto" w:fill="auto"/>
          </w:tcPr>
          <w:p w14:paraId="12D3B9B1" w14:textId="701FB8C0" w:rsidR="008320B5" w:rsidRPr="00ED172B" w:rsidRDefault="0025243E" w:rsidP="0025243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1170" w:type="dxa"/>
            <w:shd w:val="clear" w:color="auto" w:fill="auto"/>
            <w:vAlign w:val="center"/>
          </w:tcPr>
          <w:p w14:paraId="5F877093" w14:textId="7D67D8C0"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552</w:t>
            </w:r>
          </w:p>
        </w:tc>
        <w:tc>
          <w:tcPr>
            <w:tcW w:w="1260" w:type="dxa"/>
            <w:shd w:val="clear" w:color="auto" w:fill="auto"/>
            <w:vAlign w:val="center"/>
          </w:tcPr>
          <w:p w14:paraId="69F696DC" w14:textId="766B8213"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1,774</w:t>
            </w:r>
          </w:p>
        </w:tc>
        <w:tc>
          <w:tcPr>
            <w:tcW w:w="1350" w:type="dxa"/>
            <w:shd w:val="clear" w:color="auto" w:fill="auto"/>
            <w:vAlign w:val="center"/>
          </w:tcPr>
          <w:p w14:paraId="34065F7F" w14:textId="1E2D0A02" w:rsidR="0025243E" w:rsidRPr="00ED172B" w:rsidRDefault="00860830" w:rsidP="0025243E">
            <w:pPr>
              <w:jc w:val="center"/>
              <w:rPr>
                <w:rFonts w:cs="Arial"/>
                <w:color w:val="000000" w:themeColor="text1"/>
                <w:szCs w:val="16"/>
              </w:rPr>
            </w:pPr>
            <w:r w:rsidRPr="00ED172B">
              <w:rPr>
                <w:rFonts w:cs="Arial"/>
                <w:color w:val="000000" w:themeColor="text1"/>
                <w:szCs w:val="16"/>
              </w:rPr>
              <w:t>37.79%</w:t>
            </w:r>
          </w:p>
        </w:tc>
        <w:tc>
          <w:tcPr>
            <w:tcW w:w="1350" w:type="dxa"/>
            <w:shd w:val="clear" w:color="auto" w:fill="auto"/>
            <w:vAlign w:val="center"/>
          </w:tcPr>
          <w:p w14:paraId="738A625A" w14:textId="1B3A2509" w:rsidR="0025243E" w:rsidRPr="00ED172B" w:rsidRDefault="005C14C2" w:rsidP="005C14C2">
            <w:pPr>
              <w:jc w:val="center"/>
              <w:rPr>
                <w:color w:val="000000" w:themeColor="text1"/>
              </w:rPr>
            </w:pPr>
            <w:r w:rsidRPr="00ED172B">
              <w:rPr>
                <w:color w:val="000000" w:themeColor="text1"/>
              </w:rPr>
              <w:t>42.10%</w:t>
            </w:r>
          </w:p>
        </w:tc>
        <w:tc>
          <w:tcPr>
            <w:tcW w:w="1260" w:type="dxa"/>
            <w:shd w:val="clear" w:color="auto" w:fill="auto"/>
            <w:vAlign w:val="center"/>
          </w:tcPr>
          <w:p w14:paraId="1EEC0105" w14:textId="3FC19FC7" w:rsidR="0025243E" w:rsidRPr="00ED172B" w:rsidRDefault="00860830" w:rsidP="0025243E">
            <w:pPr>
              <w:jc w:val="center"/>
              <w:rPr>
                <w:rFonts w:cs="Arial"/>
                <w:color w:val="000000" w:themeColor="text1"/>
                <w:szCs w:val="16"/>
              </w:rPr>
            </w:pPr>
            <w:r w:rsidRPr="00ED172B">
              <w:rPr>
                <w:rFonts w:cs="Arial"/>
                <w:color w:val="000000" w:themeColor="text1"/>
                <w:szCs w:val="16"/>
              </w:rPr>
              <w:t>31.12%</w:t>
            </w:r>
          </w:p>
        </w:tc>
        <w:tc>
          <w:tcPr>
            <w:tcW w:w="990" w:type="dxa"/>
            <w:shd w:val="clear" w:color="auto" w:fill="auto"/>
            <w:vAlign w:val="center"/>
          </w:tcPr>
          <w:p w14:paraId="5EEFED10" w14:textId="71805D26"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shd w:val="clear" w:color="auto" w:fill="auto"/>
            <w:vAlign w:val="center"/>
          </w:tcPr>
          <w:p w14:paraId="35666D42" w14:textId="7D42BE23" w:rsidR="0025243E" w:rsidRPr="00ED172B" w:rsidRDefault="00860830" w:rsidP="0025243E">
            <w:pPr>
              <w:jc w:val="center"/>
              <w:rPr>
                <w:rFonts w:cs="Arial"/>
                <w:color w:val="000000" w:themeColor="text1"/>
                <w:szCs w:val="16"/>
              </w:rPr>
            </w:pPr>
            <w:r w:rsidRPr="00ED172B">
              <w:rPr>
                <w:rFonts w:cs="Arial"/>
                <w:color w:val="000000" w:themeColor="text1"/>
                <w:szCs w:val="16"/>
              </w:rPr>
              <w:t>Slippage</w:t>
            </w:r>
          </w:p>
        </w:tc>
      </w:tr>
    </w:tbl>
    <w:p w14:paraId="5395C5BA" w14:textId="74DACA6C"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C2 slippage, if applicable </w:t>
      </w:r>
    </w:p>
    <w:p w14:paraId="33CF58F2" w14:textId="3AEFB1DD" w:rsidR="0025243E" w:rsidRDefault="005C14C2" w:rsidP="005C14C2">
      <w:pPr>
        <w:rPr>
          <w:color w:val="000000" w:themeColor="text1"/>
        </w:rPr>
      </w:pPr>
      <w:r w:rsidRPr="00ED172B">
        <w:rPr>
          <w:color w:val="000000" w:themeColor="text1"/>
        </w:rPr>
        <w:t xml:space="preserve">Nevada demonstrated slippage and did not meet the target for Outcome C2. </w:t>
      </w:r>
      <w:proofErr w:type="gramStart"/>
      <w:r w:rsidRPr="00ED172B">
        <w:rPr>
          <w:color w:val="000000" w:themeColor="text1"/>
        </w:rPr>
        <w:t>In order to</w:t>
      </w:r>
      <w:proofErr w:type="gramEnd"/>
      <w:r w:rsidRPr="00ED172B">
        <w:rPr>
          <w:color w:val="000000" w:themeColor="text1"/>
        </w:rPr>
        <w:t xml:space="preserve"> determine the root cause leading to this slippage, analysis of FFY 2022 data was completed. The analyses of the data included looking at: a child's length of time in service, eligibility category, and age at entry. Reasons for slippage may include the COS ratings for this year's set of children are ratings for different children with differing diagnoses, abilities and outcomes. In Nevada the state EI programs serve </w:t>
      </w:r>
      <w:proofErr w:type="gramStart"/>
      <w:r w:rsidRPr="00ED172B">
        <w:rPr>
          <w:color w:val="000000" w:themeColor="text1"/>
        </w:rPr>
        <w:t>the majority of</w:t>
      </w:r>
      <w:proofErr w:type="gramEnd"/>
      <w:r w:rsidRPr="00ED172B">
        <w:rPr>
          <w:color w:val="000000" w:themeColor="text1"/>
        </w:rPr>
        <w:t xml:space="preserve"> infants and toddlers with a diagnosed medical condition. These children require the highest level of involvement </w:t>
      </w:r>
      <w:proofErr w:type="gramStart"/>
      <w:r w:rsidRPr="00ED172B">
        <w:rPr>
          <w:color w:val="000000" w:themeColor="text1"/>
        </w:rPr>
        <w:t>in order to</w:t>
      </w:r>
      <w:proofErr w:type="gramEnd"/>
      <w:r w:rsidRPr="00ED172B">
        <w:rPr>
          <w:color w:val="000000" w:themeColor="text1"/>
        </w:rPr>
        <w:t xml:space="preserve"> meet their medical and overall developmental needs. Although they make progress, their change in trajectory is not </w:t>
      </w:r>
      <w:proofErr w:type="gramStart"/>
      <w:r w:rsidRPr="00ED172B">
        <w:rPr>
          <w:color w:val="000000" w:themeColor="text1"/>
        </w:rPr>
        <w:t>sufficient enough</w:t>
      </w:r>
      <w:proofErr w:type="gramEnd"/>
      <w:r w:rsidRPr="00ED172B">
        <w:rPr>
          <w:color w:val="000000" w:themeColor="text1"/>
        </w:rPr>
        <w:t xml:space="preserve"> to move closer to their same aged peers. </w:t>
      </w:r>
      <w:r w:rsidRPr="00ED172B">
        <w:rPr>
          <w:color w:val="000000" w:themeColor="text1"/>
        </w:rPr>
        <w:br/>
      </w:r>
      <w:r w:rsidRPr="00ED172B">
        <w:rPr>
          <w:color w:val="000000" w:themeColor="text1"/>
        </w:rPr>
        <w:br/>
        <w:t>Contributing factors which may have led to slippage include:</w:t>
      </w:r>
      <w:r w:rsidRPr="00ED172B">
        <w:rPr>
          <w:color w:val="000000" w:themeColor="text1"/>
        </w:rPr>
        <w:br/>
        <w:t xml:space="preserve">Nevada suffered widespread critical personnel shortages throughout the reporting period, across all programs and geographical regions including urban to rural frontier. Two community programs closed during the reporting period, one north (November 2022) and one south (May 2023). The closures put strain on the remaining programs through increased caseloads and increased referrals during critical personnel shortage. Families of these children were given the option to transfer to other regional programs of their choice or by rotation. Due to contact issues, and the sheer magnitude of transfers, there were some delays in services for these families. Some families chose to exit the early intervention services system as they approached their third birthdates rather than transferring to another program. Programs receiving the children transferred from these two programs were responsible for record reviews and offering/fulfilling compensatory visits as agreed to by families. Although Nevada was onboarding a new program during the period between the two closures, the new program was being on boarded and was not ready for the number of referrals and caseloads to accommodate the load of the closed program in the south. </w:t>
      </w:r>
      <w:r w:rsidRPr="00ED172B">
        <w:rPr>
          <w:color w:val="000000" w:themeColor="text1"/>
        </w:rPr>
        <w:br/>
      </w:r>
      <w:r w:rsidRPr="00ED172B">
        <w:rPr>
          <w:color w:val="000000" w:themeColor="text1"/>
        </w:rPr>
        <w:br/>
        <w:t xml:space="preserve">Data System (NEIDS) discovery meetings began in May 2022 and only increased in frequency, duration, and purpose throughout the reporting period. This strained the EI system even further, although the use of resources was necessary. </w:t>
      </w:r>
      <w:proofErr w:type="gramStart"/>
      <w:r w:rsidRPr="00ED172B">
        <w:rPr>
          <w:color w:val="000000" w:themeColor="text1"/>
        </w:rPr>
        <w:t>In order to</w:t>
      </w:r>
      <w:proofErr w:type="gramEnd"/>
      <w:r w:rsidRPr="00ED172B">
        <w:rPr>
          <w:color w:val="000000" w:themeColor="text1"/>
        </w:rPr>
        <w:t xml:space="preserve"> affect critical staff shortages Nevada Governor ARP funds were requested and utilized to create a grow-your-own Professional Development Center to assist developmental specialists in earning licensure hours utilizing volunteer management staff. Again, this was necessary but burdensome on the system during the reporting period. A reduction of efforts and fidelity data collection for Pyramid Implementation and reduced coaching occurred for lack of resources. The combination of closures, straining of caseload sizes, multitude of NEIDS meetings, turnover, and program closures may have impacted slippage in this .</w:t>
      </w:r>
      <w:r w:rsidRPr="00ED172B">
        <w:rPr>
          <w:color w:val="000000" w:themeColor="text1"/>
        </w:rPr>
        <w:br/>
      </w:r>
      <w:r w:rsidRPr="00ED172B">
        <w:rPr>
          <w:color w:val="000000" w:themeColor="text1"/>
        </w:rPr>
        <w:br/>
        <w:t xml:space="preserve">As a result of slippage, the meaningful difference calculator developed by the Early Childhood Outcome (ECO) Center was used to determine if the State’s performance in this outcome truly had a meaningful difference compared to the State target and result data from the current and previous year. Based on the targets the data represented will have a statistically significant difference in the State’s performance as compared to the previous year’s targets. </w:t>
      </w:r>
    </w:p>
    <w:p w14:paraId="0ADB8903" w14:textId="77777777" w:rsidR="000E5D05" w:rsidRPr="00ED172B" w:rsidRDefault="000E5D05" w:rsidP="00986B99">
      <w:pPr>
        <w:rPr>
          <w:rFonts w:cs="Arial"/>
          <w:color w:val="000000" w:themeColor="text1"/>
          <w:szCs w:val="16"/>
        </w:rPr>
      </w:pPr>
    </w:p>
    <w:p w14:paraId="7E6A154B" w14:textId="77777777" w:rsidR="000E5D05" w:rsidRPr="000E5D05" w:rsidRDefault="000E5D05" w:rsidP="000E5D05">
      <w:pPr>
        <w:rPr>
          <w:b/>
          <w:color w:val="000000" w:themeColor="text1"/>
        </w:rPr>
      </w:pPr>
      <w:r w:rsidRPr="000E5D05" w:rsidDel="00F32724">
        <w:rPr>
          <w:b/>
          <w:color w:val="000000" w:themeColor="text1"/>
        </w:rPr>
        <w:t>FFY 2022 SPP/APR Data</w:t>
      </w:r>
    </w:p>
    <w:p w14:paraId="46BFE185"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0E5D05" w:rsidRPr="000E5D05" w14:paraId="61B84428" w14:textId="77777777" w:rsidTr="006B424E">
        <w:trPr>
          <w:tblHeader/>
        </w:trPr>
        <w:tc>
          <w:tcPr>
            <w:tcW w:w="9175" w:type="dxa"/>
          </w:tcPr>
          <w:p w14:paraId="4A3B8E26" w14:textId="77777777" w:rsidR="000E5D05" w:rsidRPr="000E5D05" w:rsidRDefault="000E5D05" w:rsidP="006B424E">
            <w:pPr>
              <w:rPr>
                <w:rFonts w:cs="Arial"/>
                <w:b/>
                <w:bCs/>
                <w:color w:val="000000" w:themeColor="text1"/>
                <w:szCs w:val="16"/>
              </w:rPr>
            </w:pPr>
            <w:r w:rsidRPr="000E5D05">
              <w:rPr>
                <w:rFonts w:cs="Arial"/>
                <w:b/>
                <w:bCs/>
                <w:color w:val="000000" w:themeColor="text1"/>
                <w:szCs w:val="16"/>
              </w:rPr>
              <w:t>Question</w:t>
            </w:r>
          </w:p>
        </w:tc>
        <w:tc>
          <w:tcPr>
            <w:tcW w:w="1615" w:type="dxa"/>
            <w:shd w:val="clear" w:color="auto" w:fill="auto"/>
          </w:tcPr>
          <w:p w14:paraId="69C911AF" w14:textId="77777777" w:rsidR="000E5D05" w:rsidRPr="000E5D05" w:rsidRDefault="000E5D05" w:rsidP="006B424E">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655EF7E2" w14:textId="77777777" w:rsidTr="006B424E">
        <w:tc>
          <w:tcPr>
            <w:tcW w:w="9175" w:type="dxa"/>
          </w:tcPr>
          <w:p w14:paraId="751BADB6" w14:textId="77777777" w:rsidR="000E5D05" w:rsidRPr="000E5D05" w:rsidRDefault="000E5D05" w:rsidP="006B424E">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14:paraId="41E410A2" w14:textId="77777777" w:rsidR="000E5D05" w:rsidRPr="000E5D05" w:rsidRDefault="000E5D05" w:rsidP="006B424E">
            <w:pPr>
              <w:jc w:val="center"/>
              <w:rPr>
                <w:rFonts w:cs="Arial"/>
                <w:color w:val="000000" w:themeColor="text1"/>
                <w:szCs w:val="16"/>
              </w:rPr>
            </w:pPr>
            <w:r w:rsidRPr="000E5D05">
              <w:rPr>
                <w:rFonts w:cs="Arial"/>
                <w:color w:val="000000" w:themeColor="text1"/>
                <w:szCs w:val="16"/>
              </w:rPr>
              <w:t>3,574</w:t>
            </w:r>
          </w:p>
        </w:tc>
      </w:tr>
      <w:tr w:rsidR="000E5D05" w:rsidRPr="000E5D05" w14:paraId="67934A85" w14:textId="77777777" w:rsidTr="006B424E">
        <w:tc>
          <w:tcPr>
            <w:tcW w:w="9175" w:type="dxa"/>
          </w:tcPr>
          <w:p w14:paraId="07587B90" w14:textId="77777777" w:rsidR="000E5D05" w:rsidRPr="000E5D05" w:rsidRDefault="000E5D05" w:rsidP="006B424E">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6888EA59" w14:textId="77777777" w:rsidR="000E5D05" w:rsidRPr="000E5D05" w:rsidRDefault="000E5D05" w:rsidP="006B424E">
            <w:pPr>
              <w:jc w:val="center"/>
              <w:rPr>
                <w:rFonts w:cs="Arial"/>
                <w:color w:val="000000" w:themeColor="text1"/>
                <w:szCs w:val="16"/>
              </w:rPr>
            </w:pPr>
            <w:r w:rsidRPr="000E5D05">
              <w:rPr>
                <w:rFonts w:cs="Arial"/>
                <w:color w:val="000000" w:themeColor="text1"/>
                <w:szCs w:val="16"/>
              </w:rPr>
              <w:t>1,563</w:t>
            </w:r>
          </w:p>
        </w:tc>
      </w:tr>
      <w:tr w:rsidR="000E5D05" w:rsidRPr="00ED172B" w14:paraId="7565685B" w14:textId="77777777" w:rsidTr="006B424E">
        <w:tc>
          <w:tcPr>
            <w:tcW w:w="9175" w:type="dxa"/>
          </w:tcPr>
          <w:p w14:paraId="189EC9A1" w14:textId="77777777" w:rsidR="000E5D05" w:rsidRPr="000E5D05" w:rsidRDefault="000E5D05" w:rsidP="006B424E">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1EA9DBE3" w14:textId="77777777" w:rsidR="000E5D05" w:rsidRPr="006B424E" w:rsidRDefault="000E5D05" w:rsidP="006B424E">
            <w:pPr>
              <w:rPr>
                <w:b/>
                <w:color w:val="000000" w:themeColor="text1"/>
              </w:rPr>
            </w:pPr>
            <w:r w:rsidRPr="000E5D05">
              <w:rPr>
                <w:color w:val="000000" w:themeColor="text1"/>
              </w:rPr>
              <w:t>1,774</w:t>
            </w:r>
          </w:p>
        </w:tc>
      </w:tr>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047486DE" w14:textId="2F12AD13"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44D4D8D3" w14:textId="4AE06461" w:rsidR="002451A6" w:rsidRDefault="005C14C2" w:rsidP="005C14C2">
      <w:pPr>
        <w:rPr>
          <w:color w:val="000000" w:themeColor="text1"/>
        </w:rPr>
      </w:pPr>
      <w:r w:rsidRPr="00ED172B">
        <w:rPr>
          <w:color w:val="000000" w:themeColor="text1"/>
        </w:rPr>
        <w:t>YES</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 xml:space="preserve">The data collected for infants and toddlers who received six (6) months or longer of early intervention services for FFY 2022 were collected using the Child Outcome Summary Form (COSF) 7-point rating scale. The rating scale was developed by the Early Childhood Outcome (ECO) Center to support criteria for defining how NV’s infants and toddlers are compared to same-aged peers. NV also uses the decision tree to support practitioners in determining an appropriate child outcome rating for infants and toddlers. The criterion to determine “comparable to same-aged peers” is defined as a child who has been assigned a score of 6 or 7 on the COS (Child Outcome Summary). Nevada uses the ECO Center Meaningful Difference Calculator for </w:t>
      </w:r>
      <w:proofErr w:type="gramStart"/>
      <w:r w:rsidRPr="00ED172B">
        <w:rPr>
          <w:rFonts w:cs="Arial"/>
          <w:color w:val="000000" w:themeColor="text1"/>
          <w:szCs w:val="16"/>
        </w:rPr>
        <w:t>year to year</w:t>
      </w:r>
      <w:proofErr w:type="gramEnd"/>
      <w:r w:rsidRPr="00ED172B">
        <w:rPr>
          <w:rFonts w:cs="Arial"/>
          <w:color w:val="000000" w:themeColor="text1"/>
          <w:szCs w:val="16"/>
        </w:rPr>
        <w:t xml:space="preserve"> comparisons as well.</w:t>
      </w:r>
    </w:p>
    <w:p w14:paraId="7C7F4032" w14:textId="3B8DC8B2" w:rsidR="003A3693" w:rsidRPr="00ED172B" w:rsidRDefault="003A3693" w:rsidP="006935F4">
      <w:pPr>
        <w:rPr>
          <w:b/>
          <w:color w:val="000000" w:themeColor="text1"/>
        </w:rPr>
      </w:pPr>
      <w:bookmarkStart w:id="15" w:name="_Toc382082362"/>
      <w:bookmarkStart w:id="16" w:name="_Toc392159270"/>
      <w:r w:rsidRPr="00ED172B">
        <w:rPr>
          <w:b/>
          <w:color w:val="000000" w:themeColor="text1"/>
        </w:rPr>
        <w:t>Provide additional information about this indicator (optional).</w:t>
      </w:r>
    </w:p>
    <w:p w14:paraId="38CEA5CA" w14:textId="6B633C85" w:rsidR="003A3693" w:rsidRPr="00ED172B" w:rsidRDefault="00860830" w:rsidP="003A3693">
      <w:pPr>
        <w:rPr>
          <w:rFonts w:cs="Arial"/>
          <w:color w:val="000000" w:themeColor="text1"/>
          <w:szCs w:val="16"/>
        </w:rPr>
      </w:pPr>
      <w:r w:rsidRPr="00ED172B">
        <w:rPr>
          <w:rFonts w:cs="Arial"/>
          <w:color w:val="000000" w:themeColor="text1"/>
          <w:szCs w:val="16"/>
        </w:rPr>
        <w:t>The number of infants and toddlers who exited the Part C program during the reporting period was 3,574 children. Of these 3,574 children, 2,011 children were expected to have Exit COSF data based on having received early intervention for six (6) months or more, with a remaining 1,563 children who received less than 6 months of services. Of the 2,011 children, complete data were available for 1,774 children. Nevada is reporting complete data for 88.2% of infants and toddlers who exited services with a program length of six (6) months or longer. A difference of 237 (11.8%) of children exists then for progress data which could not be reported; additionally of this 237 children, there were 128 children who only had 1 or 2 outcomes included in the COS therefore their data were incomplete and could not be reported on in this indicator.</w:t>
      </w:r>
      <w:r w:rsidRPr="00ED172B">
        <w:rPr>
          <w:rFonts w:cs="Arial"/>
          <w:color w:val="000000" w:themeColor="text1"/>
          <w:szCs w:val="16"/>
        </w:rPr>
        <w:br/>
      </w:r>
      <w:r w:rsidRPr="00ED172B">
        <w:rPr>
          <w:rFonts w:cs="Arial"/>
          <w:color w:val="000000" w:themeColor="text1"/>
          <w:szCs w:val="16"/>
        </w:rPr>
        <w:br/>
        <w:t>Progress data could not be reported for 237 (11.8%) infants and toddlers who exited services having received six (6) months of services. Reasons for the missing Exit data for these 237 children include:</w:t>
      </w:r>
      <w:r w:rsidRPr="00ED172B">
        <w:rPr>
          <w:rFonts w:cs="Arial"/>
          <w:color w:val="000000" w:themeColor="text1"/>
          <w:szCs w:val="16"/>
        </w:rPr>
        <w:br/>
        <w:t xml:space="preserve"> </w:t>
      </w:r>
      <w:r w:rsidRPr="00ED172B">
        <w:rPr>
          <w:rFonts w:cs="Arial"/>
          <w:color w:val="000000" w:themeColor="text1"/>
          <w:szCs w:val="16"/>
        </w:rPr>
        <w:br/>
        <w:t>Some families that would have received more than 6 months of services but ended services prior to the 3rd birthday due to declining services.</w:t>
      </w:r>
      <w:r w:rsidRPr="00ED172B">
        <w:rPr>
          <w:rFonts w:cs="Arial"/>
          <w:color w:val="000000" w:themeColor="text1"/>
          <w:szCs w:val="16"/>
        </w:rPr>
        <w:br/>
        <w:t xml:space="preserve"> </w:t>
      </w:r>
      <w:r w:rsidRPr="00ED172B">
        <w:rPr>
          <w:rFonts w:cs="Arial"/>
          <w:color w:val="000000" w:themeColor="text1"/>
          <w:szCs w:val="16"/>
        </w:rPr>
        <w:br/>
        <w:t xml:space="preserve">Entry COS data were submitted but the EIS program reported the child did not receive early intervention for the entire six (6) month timeframe due to loss of contact with families. </w:t>
      </w:r>
      <w:r w:rsidRPr="00ED172B">
        <w:rPr>
          <w:rFonts w:cs="Arial"/>
          <w:color w:val="000000" w:themeColor="text1"/>
          <w:szCs w:val="16"/>
        </w:rPr>
        <w:br/>
      </w:r>
      <w:r w:rsidRPr="00ED172B">
        <w:rPr>
          <w:rFonts w:cs="Arial"/>
          <w:color w:val="000000" w:themeColor="text1"/>
          <w:szCs w:val="16"/>
        </w:rPr>
        <w:br/>
        <w:t xml:space="preserve">Entry COS data were submitted for the child; however, the Exit data was not submitted by the program due to a lack of internal tracking processes. </w:t>
      </w:r>
      <w:r w:rsidRPr="00ED172B">
        <w:rPr>
          <w:rFonts w:cs="Arial"/>
          <w:color w:val="000000" w:themeColor="text1"/>
          <w:szCs w:val="16"/>
        </w:rPr>
        <w:br/>
      </w:r>
      <w:r w:rsidRPr="00ED172B">
        <w:rPr>
          <w:rFonts w:cs="Arial"/>
          <w:color w:val="000000" w:themeColor="text1"/>
          <w:szCs w:val="16"/>
        </w:rPr>
        <w:br/>
        <w:t xml:space="preserve">Exit COS data were submitted for the child; however, Entry data had not been submitted. Therefore, progress could not be determined. </w:t>
      </w:r>
      <w:r w:rsidRPr="00ED172B">
        <w:rPr>
          <w:rFonts w:cs="Arial"/>
          <w:color w:val="000000" w:themeColor="text1"/>
          <w:szCs w:val="16"/>
        </w:rPr>
        <w:br/>
      </w:r>
      <w:r w:rsidRPr="00ED172B">
        <w:rPr>
          <w:rFonts w:cs="Arial"/>
          <w:color w:val="000000" w:themeColor="text1"/>
          <w:szCs w:val="16"/>
        </w:rPr>
        <w:br/>
        <w:t>Entry and/or Exit COS data were submitted by personnel with incomplete fields and the legacy data system did not stop a data user from submitting a COS Form with incomplete data.</w:t>
      </w:r>
      <w:r w:rsidRPr="00ED172B">
        <w:rPr>
          <w:rFonts w:cs="Arial"/>
          <w:color w:val="000000" w:themeColor="text1"/>
          <w:szCs w:val="16"/>
        </w:rPr>
        <w:br/>
      </w:r>
      <w:r w:rsidRPr="00ED172B">
        <w:rPr>
          <w:rFonts w:cs="Arial"/>
          <w:color w:val="000000" w:themeColor="text1"/>
          <w:szCs w:val="16"/>
        </w:rPr>
        <w:br/>
        <w:t xml:space="preserve">Representation of progress data for 1,774 children has decreased compared to the previous year FFY 2021 when the State reported 1,810 children with complete Exit data. Also, the number of children who did not receive 6 months of services decreased from 1,642 children during FFY 2021 to 1,563 during FFY 2022. </w:t>
      </w:r>
      <w:r w:rsidRPr="00ED172B">
        <w:rPr>
          <w:rFonts w:cs="Arial"/>
          <w:color w:val="000000" w:themeColor="text1"/>
          <w:szCs w:val="16"/>
        </w:rPr>
        <w:br/>
      </w:r>
      <w:r w:rsidRPr="00ED172B">
        <w:rPr>
          <w:rFonts w:cs="Arial"/>
          <w:color w:val="000000" w:themeColor="text1"/>
          <w:szCs w:val="16"/>
        </w:rPr>
        <w:br/>
        <w:t xml:space="preserve">Measures the State is taking currently in FFY 2023 </w:t>
      </w:r>
      <w:proofErr w:type="gramStart"/>
      <w:r w:rsidRPr="00ED172B">
        <w:rPr>
          <w:rFonts w:cs="Arial"/>
          <w:color w:val="000000" w:themeColor="text1"/>
          <w:szCs w:val="16"/>
        </w:rPr>
        <w:t>in order to</w:t>
      </w:r>
      <w:proofErr w:type="gramEnd"/>
      <w:r w:rsidRPr="00ED172B">
        <w:rPr>
          <w:rFonts w:cs="Arial"/>
          <w:color w:val="000000" w:themeColor="text1"/>
          <w:szCs w:val="16"/>
        </w:rPr>
        <w:t xml:space="preserve"> promote increased representation of progress data include implementation of a new data system NEIDS with improved processes and validations to gather data for this indicator. The new data system launched in October 2023 in the FFY 2023 fiscal year </w:t>
      </w:r>
      <w:proofErr w:type="gramStart"/>
      <w:r w:rsidRPr="00ED172B">
        <w:rPr>
          <w:rFonts w:cs="Arial"/>
          <w:color w:val="000000" w:themeColor="text1"/>
          <w:szCs w:val="16"/>
        </w:rPr>
        <w:t>through the use of</w:t>
      </w:r>
      <w:proofErr w:type="gramEnd"/>
      <w:r w:rsidRPr="00ED172B">
        <w:rPr>
          <w:rFonts w:cs="Arial"/>
          <w:color w:val="000000" w:themeColor="text1"/>
          <w:szCs w:val="16"/>
        </w:rPr>
        <w:t xml:space="preserve"> American Rescue Plan funds. Additional efforts being planned by the IDEA Part C Office include new data system training, user guides and FAQs, as well as providing technical assistance refreshers regarding family engagement training for EI programs.</w:t>
      </w: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None</w:t>
      </w:r>
    </w:p>
    <w:p w14:paraId="043E739C" w14:textId="77777777" w:rsidR="004C1CEE" w:rsidRPr="00ED172B" w:rsidRDefault="004C1CEE" w:rsidP="00DC0682">
      <w:pPr>
        <w:rPr>
          <w:rFonts w:cs="Arial"/>
          <w:color w:val="000000" w:themeColor="text1"/>
          <w:szCs w:val="16"/>
        </w:rPr>
      </w:pP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DC0682" w:rsidP="005C14C2">
      <w:pPr>
        <w:rPr>
          <w:color w:val="000000" w:themeColor="text1"/>
        </w:rPr>
      </w:pP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DC0682" w:rsidP="005C14C2">
      <w:pPr>
        <w:rPr>
          <w:color w:val="000000" w:themeColor="text1"/>
        </w:rPr>
      </w:pP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5"/>
      <w:bookmarkEnd w:id="16"/>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17"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 xml:space="preserve">A. Know their </w:t>
      </w:r>
      <w:proofErr w:type="gramStart"/>
      <w:r w:rsidRPr="00ED172B">
        <w:rPr>
          <w:color w:val="000000" w:themeColor="text1"/>
          <w:szCs w:val="16"/>
        </w:rPr>
        <w:t>rights;</w:t>
      </w:r>
      <w:proofErr w:type="gramEnd"/>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18" w:name="_Toc392159272"/>
      <w:bookmarkEnd w:id="17"/>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19" w:name="_Hlk78829878"/>
      <w:r w:rsidRPr="003D3ED1">
        <w:rPr>
          <w:rFonts w:cstheme="minorBidi"/>
          <w:b w:val="0"/>
        </w:rPr>
        <w:t>compare the current year’s response rate to the previous year(s) response rate(s</w:t>
      </w:r>
      <w:proofErr w:type="gramStart"/>
      <w:r w:rsidRPr="003D3ED1">
        <w:rPr>
          <w:rFonts w:cstheme="minorBidi"/>
          <w:b w:val="0"/>
        </w:rPr>
        <w:t>), and</w:t>
      </w:r>
      <w:proofErr w:type="gramEnd"/>
      <w:r w:rsidRPr="003D3ED1">
        <w:rPr>
          <w:rFonts w:cstheme="minorBidi"/>
          <w:b w:val="0"/>
        </w:rPr>
        <w:t xml:space="preserve"> describe strategies that will be implemented which are expected to increase the response rate year over year, particularly for those groups that are underrepresented</w:t>
      </w:r>
      <w:bookmarkEnd w:id="19"/>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119D756E"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0" w:name="_Hlk80187466"/>
      <w:r w:rsidR="00D45F98" w:rsidRPr="003D3ED1">
        <w:t>infants or toddlers for whom</w:t>
      </w:r>
      <w:bookmarkEnd w:id="20"/>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1" w:name="_Hlk80187529"/>
      <w:r w:rsidR="00D45F98" w:rsidRPr="003D3ED1">
        <w:t>receiving services</w:t>
      </w:r>
      <w:bookmarkEnd w:id="21"/>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3FA5EAA2"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2" w:name="_Hlk80196581"/>
      <w:r w:rsidR="00D57F7D" w:rsidRPr="003D3ED1">
        <w:t>infants or toddlers for whom</w:t>
      </w:r>
      <w:bookmarkEnd w:id="22"/>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4AB4F5DF" w:rsidR="00DB61F6" w:rsidRPr="00E6031E" w:rsidRDefault="00DB61F6" w:rsidP="00DB61F6">
      <w:pPr>
        <w:pStyle w:val="Subhed"/>
        <w:rPr>
          <w:rFonts w:cstheme="minorBidi"/>
          <w:b w:val="0"/>
        </w:rPr>
      </w:pPr>
      <w:r w:rsidRPr="004720EA">
        <w:rPr>
          <w:rFonts w:cstheme="minorBidi"/>
          <w:bCs/>
        </w:rPr>
        <w:t>Beginning with the FFY 2022 SPP/APR, due February 1, 2024</w:t>
      </w:r>
      <w:r w:rsidRPr="003D3ED1">
        <w:rPr>
          <w:rFonts w:cstheme="minorBidi"/>
          <w:b w:val="0"/>
        </w:rPr>
        <w:t>, when reporting the extent to which the demographics of the infants or toddlers for whom families responded are representative of the demographics of infants and toddlers enrolled in the Part C program, States must include race</w:t>
      </w:r>
      <w:r w:rsidR="00651137">
        <w:rPr>
          <w:rFonts w:cstheme="minorBidi"/>
          <w:b w:val="0"/>
        </w:rPr>
        <w:t>/</w:t>
      </w:r>
      <w:r w:rsidRPr="003D3ED1">
        <w:rPr>
          <w:rFonts w:cstheme="minorBidi"/>
          <w:b w:val="0"/>
        </w:rPr>
        <w:t>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18"/>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3"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shd w:val="clear" w:color="auto" w:fill="auto"/>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2021</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shd w:val="clear" w:color="auto" w:fill="auto"/>
            <w:vAlign w:val="center"/>
          </w:tcPr>
          <w:p w14:paraId="1C8EF85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shd w:val="clear" w:color="auto" w:fill="auto"/>
          </w:tcPr>
          <w:p w14:paraId="33DA05CA" w14:textId="47A2DCDE"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4E1CDB3E" w14:textId="4B1DF262"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97.00%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97.50%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97.50%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97.75%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98.00%</w:t>
            </w:r>
          </w:p>
        </w:tc>
      </w:tr>
      <w:tr w:rsidR="00ED172B" w:rsidRPr="00ED172B" w14:paraId="5726E534" w14:textId="0FEBCB20" w:rsidTr="00A40EE1">
        <w:trPr>
          <w:trHeight w:val="85"/>
        </w:trPr>
        <w:tc>
          <w:tcPr>
            <w:tcW w:w="415" w:type="pct"/>
            <w:tcBorders>
              <w:left w:val="single" w:sz="4" w:space="0" w:color="auto"/>
              <w:right w:val="single" w:sz="4" w:space="0" w:color="auto"/>
            </w:tcBorders>
            <w:shd w:val="clear" w:color="auto" w:fill="auto"/>
            <w:vAlign w:val="center"/>
          </w:tcPr>
          <w:p w14:paraId="327818F6" w14:textId="7DE1C4D2"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shd w:val="clear" w:color="auto" w:fill="auto"/>
          </w:tcPr>
          <w:p w14:paraId="44626205" w14:textId="5FE5D1F3" w:rsidR="00013004" w:rsidRPr="00ED172B" w:rsidRDefault="00291EA9" w:rsidP="00ED172B">
            <w:pPr>
              <w:jc w:val="center"/>
              <w:rPr>
                <w:color w:val="000000" w:themeColor="text1"/>
              </w:rPr>
            </w:pPr>
            <w:r w:rsidRPr="00ED172B">
              <w:rPr>
                <w:color w:val="000000" w:themeColor="text1"/>
              </w:rPr>
              <w:t>94.29%</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D572CB1" w14:textId="457533E8"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97.16%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96.84%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98.87%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97.24%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97.49%</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A33D9B4"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023391C1" w14:textId="31C75DD5"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F6B57E8" w14:textId="74B5ED90"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96.00%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96.50%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96.50%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96.75%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97.00%</w:t>
            </w:r>
          </w:p>
        </w:tc>
      </w:tr>
      <w:tr w:rsidR="00ED172B" w:rsidRPr="00ED172B" w14:paraId="48448318" w14:textId="1BF5AF3A" w:rsidTr="00A40EE1">
        <w:trPr>
          <w:trHeight w:val="85"/>
        </w:trPr>
        <w:tc>
          <w:tcPr>
            <w:tcW w:w="415" w:type="pct"/>
            <w:tcBorders>
              <w:left w:val="single" w:sz="4" w:space="0" w:color="auto"/>
              <w:right w:val="single" w:sz="4" w:space="0" w:color="auto"/>
            </w:tcBorders>
            <w:shd w:val="clear" w:color="auto" w:fill="auto"/>
            <w:vAlign w:val="center"/>
          </w:tcPr>
          <w:p w14:paraId="08404016" w14:textId="59489EEE"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23E7373A" w14:textId="433300C8" w:rsidR="00013004" w:rsidRPr="00ED172B" w:rsidRDefault="00291EA9" w:rsidP="00ED172B">
            <w:pPr>
              <w:jc w:val="center"/>
              <w:rPr>
                <w:color w:val="000000" w:themeColor="text1"/>
              </w:rPr>
            </w:pPr>
            <w:r w:rsidRPr="00ED172B">
              <w:rPr>
                <w:color w:val="000000" w:themeColor="text1"/>
              </w:rPr>
              <w:t>91.32%</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783E7E7D" w14:textId="4EA3BF01"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96.02%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95.26%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94.38%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92.12%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93.87%</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766125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71D9797A" w14:textId="3DD6EFF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3F16252C" w14:textId="6ECE509E"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94.00%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94.50%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94.50%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94.75%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95.00%</w:t>
            </w:r>
          </w:p>
        </w:tc>
      </w:tr>
      <w:tr w:rsidR="00ED172B" w:rsidRPr="00ED172B" w14:paraId="1584FE47" w14:textId="5B96356D" w:rsidTr="00A40EE1">
        <w:trPr>
          <w:trHeight w:val="85"/>
        </w:trPr>
        <w:tc>
          <w:tcPr>
            <w:tcW w:w="415" w:type="pct"/>
            <w:tcBorders>
              <w:left w:val="single" w:sz="4" w:space="0" w:color="auto"/>
              <w:right w:val="single" w:sz="4" w:space="0" w:color="auto"/>
            </w:tcBorders>
            <w:shd w:val="clear" w:color="auto" w:fill="auto"/>
            <w:vAlign w:val="center"/>
          </w:tcPr>
          <w:p w14:paraId="2BD768BF" w14:textId="5205E701"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01DA383D" w14:textId="70C11D05" w:rsidR="00013004" w:rsidRPr="00ED172B" w:rsidRDefault="00291EA9" w:rsidP="00ED172B">
            <w:pPr>
              <w:jc w:val="center"/>
              <w:rPr>
                <w:color w:val="000000" w:themeColor="text1"/>
              </w:rPr>
            </w:pPr>
            <w:r w:rsidRPr="00ED172B">
              <w:rPr>
                <w:color w:val="000000" w:themeColor="text1"/>
              </w:rPr>
              <w:t>91.00%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2BAC2F43" w14:textId="4BB05AAA"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95.74%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92.89%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97.18%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95.52%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96.37%</w:t>
            </w:r>
          </w:p>
        </w:tc>
      </w:tr>
    </w:tbl>
    <w:p w14:paraId="2A1BA25E" w14:textId="124175C6" w:rsidR="001F545F" w:rsidRPr="00ED172B" w:rsidRDefault="005918D1">
      <w:pPr>
        <w:rPr>
          <w:b/>
          <w:color w:val="000000" w:themeColor="text1"/>
        </w:rPr>
      </w:pPr>
      <w:r w:rsidRPr="00ED172B">
        <w:rPr>
          <w:b/>
          <w:color w:val="000000" w:themeColor="text1"/>
        </w:rPr>
        <w:lastRenderedPageBreak/>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7"/>
        <w:gridCol w:w="1681"/>
        <w:gridCol w:w="1677"/>
        <w:gridCol w:w="1677"/>
        <w:gridCol w:w="1677"/>
      </w:tblGrid>
      <w:tr w:rsidR="00C843AF" w:rsidRPr="00ED172B" w14:paraId="6C023CDC" w14:textId="05C08FAC" w:rsidTr="00E415ED">
        <w:trPr>
          <w:trHeight w:val="350"/>
        </w:trPr>
        <w:tc>
          <w:tcPr>
            <w:tcW w:w="488" w:type="pct"/>
            <w:tcBorders>
              <w:bottom w:val="single" w:sz="4" w:space="0" w:color="auto"/>
            </w:tcBorders>
            <w:shd w:val="clear" w:color="auto" w:fill="auto"/>
            <w:vAlign w:val="bottom"/>
          </w:tcPr>
          <w:p w14:paraId="0130A8F3" w14:textId="77777777" w:rsidR="00C843AF" w:rsidRPr="00ED172B" w:rsidRDefault="00C843AF" w:rsidP="008654C9">
            <w:pPr>
              <w:jc w:val="center"/>
              <w:rPr>
                <w:rFonts w:cs="Arial"/>
                <w:b/>
                <w:color w:val="000000" w:themeColor="text1"/>
                <w:szCs w:val="16"/>
              </w:rPr>
            </w:pPr>
            <w:r w:rsidRPr="00ED172B">
              <w:rPr>
                <w:rFonts w:cs="Arial"/>
                <w:b/>
                <w:color w:val="000000" w:themeColor="text1"/>
                <w:szCs w:val="16"/>
              </w:rPr>
              <w:t>FFY</w:t>
            </w:r>
          </w:p>
        </w:tc>
        <w:tc>
          <w:tcPr>
            <w:tcW w:w="1130" w:type="pct"/>
            <w:shd w:val="clear" w:color="auto" w:fill="auto"/>
            <w:vAlign w:val="center"/>
          </w:tcPr>
          <w:p w14:paraId="4732CBBC" w14:textId="72AD1B78" w:rsidR="00C843AF" w:rsidRPr="00ED172B" w:rsidRDefault="00C843AF" w:rsidP="008654C9">
            <w:pPr>
              <w:jc w:val="center"/>
              <w:rPr>
                <w:rFonts w:cs="Arial"/>
                <w:b/>
                <w:color w:val="000000" w:themeColor="text1"/>
                <w:szCs w:val="16"/>
              </w:rPr>
            </w:pPr>
            <w:r w:rsidRPr="00ED172B">
              <w:rPr>
                <w:rFonts w:cs="Arial"/>
                <w:b/>
                <w:color w:val="000000" w:themeColor="text1"/>
                <w:szCs w:val="16"/>
              </w:rPr>
              <w:t>2022</w:t>
            </w:r>
          </w:p>
        </w:tc>
        <w:tc>
          <w:tcPr>
            <w:tcW w:w="1127" w:type="pct"/>
          </w:tcPr>
          <w:p w14:paraId="4A6AC503" w14:textId="202CF51F" w:rsidR="00C843AF" w:rsidRPr="00ED172B" w:rsidRDefault="00C843AF" w:rsidP="008654C9">
            <w:pPr>
              <w:jc w:val="center"/>
              <w:rPr>
                <w:rFonts w:cs="Arial"/>
                <w:b/>
                <w:color w:val="000000" w:themeColor="text1"/>
                <w:szCs w:val="16"/>
              </w:rPr>
            </w:pPr>
            <w:r>
              <w:rPr>
                <w:rFonts w:cs="Arial"/>
                <w:b/>
                <w:color w:val="000000" w:themeColor="text1"/>
                <w:szCs w:val="16"/>
              </w:rPr>
              <w:t>2023</w:t>
            </w:r>
          </w:p>
        </w:tc>
        <w:tc>
          <w:tcPr>
            <w:tcW w:w="1127" w:type="pct"/>
          </w:tcPr>
          <w:p w14:paraId="7D14D156" w14:textId="77C45ED4" w:rsidR="00C843AF" w:rsidRPr="00ED172B" w:rsidRDefault="00C843AF" w:rsidP="008654C9">
            <w:pPr>
              <w:jc w:val="center"/>
              <w:rPr>
                <w:rFonts w:cs="Arial"/>
                <w:b/>
                <w:color w:val="000000" w:themeColor="text1"/>
                <w:szCs w:val="16"/>
              </w:rPr>
            </w:pPr>
            <w:r w:rsidRPr="005A1B4F">
              <w:rPr>
                <w:rFonts w:cs="Arial"/>
                <w:b/>
                <w:color w:val="000000" w:themeColor="text1"/>
                <w:szCs w:val="16"/>
              </w:rPr>
              <w:t>2024</w:t>
            </w:r>
          </w:p>
        </w:tc>
        <w:tc>
          <w:tcPr>
            <w:tcW w:w="1127" w:type="pct"/>
          </w:tcPr>
          <w:p w14:paraId="54C6D3CA" w14:textId="4376F08A" w:rsidR="00C843AF" w:rsidRPr="00ED172B" w:rsidRDefault="00C843AF" w:rsidP="008654C9">
            <w:pPr>
              <w:jc w:val="center"/>
              <w:rPr>
                <w:rFonts w:cs="Arial"/>
                <w:b/>
                <w:color w:val="000000" w:themeColor="text1"/>
                <w:szCs w:val="16"/>
              </w:rPr>
            </w:pPr>
            <w:r w:rsidRPr="005A1B4F">
              <w:rPr>
                <w:rFonts w:cs="Arial"/>
                <w:b/>
                <w:color w:val="000000" w:themeColor="text1"/>
                <w:szCs w:val="16"/>
              </w:rPr>
              <w:t>2025</w:t>
            </w:r>
          </w:p>
        </w:tc>
      </w:tr>
      <w:tr w:rsidR="00C843AF" w:rsidRPr="00ED172B" w14:paraId="737B1FB1" w14:textId="0E9417A5" w:rsidTr="00E415ED">
        <w:trPr>
          <w:trHeight w:val="357"/>
        </w:trPr>
        <w:tc>
          <w:tcPr>
            <w:tcW w:w="488" w:type="pct"/>
            <w:shd w:val="clear" w:color="auto" w:fill="auto"/>
          </w:tcPr>
          <w:p w14:paraId="2CE5A688" w14:textId="4C4E1C28" w:rsidR="00C843AF" w:rsidRPr="00ED172B" w:rsidRDefault="00C843AF" w:rsidP="00D21F29">
            <w:pPr>
              <w:jc w:val="center"/>
              <w:rPr>
                <w:rFonts w:cs="Arial"/>
                <w:color w:val="000000" w:themeColor="text1"/>
                <w:szCs w:val="16"/>
              </w:rPr>
            </w:pPr>
            <w:r w:rsidRPr="00ED172B">
              <w:rPr>
                <w:rFonts w:cs="Arial"/>
                <w:color w:val="000000" w:themeColor="text1"/>
                <w:szCs w:val="16"/>
              </w:rPr>
              <w:t>Target A&gt;=</w:t>
            </w:r>
          </w:p>
        </w:tc>
        <w:tc>
          <w:tcPr>
            <w:tcW w:w="1130" w:type="pct"/>
            <w:shd w:val="clear" w:color="auto" w:fill="auto"/>
            <w:vAlign w:val="center"/>
          </w:tcPr>
          <w:p w14:paraId="0B768807" w14:textId="2DC3CAE1" w:rsidR="00C843AF" w:rsidRPr="00ED172B" w:rsidRDefault="00C843AF" w:rsidP="002F2336">
            <w:pPr>
              <w:jc w:val="center"/>
              <w:rPr>
                <w:color w:val="000000" w:themeColor="text1"/>
              </w:rPr>
            </w:pPr>
            <w:r w:rsidRPr="00ED172B">
              <w:rPr>
                <w:color w:val="000000" w:themeColor="text1"/>
              </w:rPr>
              <w:t>98.25%</w:t>
            </w:r>
          </w:p>
        </w:tc>
        <w:tc>
          <w:tcPr>
            <w:tcW w:w="1127" w:type="pct"/>
            <w:vAlign w:val="center"/>
          </w:tcPr>
          <w:p w14:paraId="4F6C0542" w14:textId="15CB8941" w:rsidR="00C843AF" w:rsidRPr="00794BA1" w:rsidRDefault="00C843AF" w:rsidP="002F2336">
            <w:pPr>
              <w:jc w:val="center"/>
              <w:rPr>
                <w:color w:val="000000" w:themeColor="text1"/>
              </w:rPr>
            </w:pPr>
            <w:r w:rsidRPr="00794BA1">
              <w:rPr>
                <w:color w:val="000000" w:themeColor="text1"/>
              </w:rPr>
              <w:t>98.50%</w:t>
            </w:r>
          </w:p>
        </w:tc>
        <w:tc>
          <w:tcPr>
            <w:tcW w:w="1127" w:type="pct"/>
            <w:vAlign w:val="center"/>
          </w:tcPr>
          <w:p w14:paraId="7E129EEC" w14:textId="3C5D3830" w:rsidR="00C843AF" w:rsidRPr="00794BA1" w:rsidRDefault="00C843AF" w:rsidP="002F2336">
            <w:pPr>
              <w:jc w:val="center"/>
              <w:rPr>
                <w:color w:val="000000" w:themeColor="text1"/>
              </w:rPr>
            </w:pPr>
            <w:r w:rsidRPr="00794BA1">
              <w:rPr>
                <w:color w:val="000000" w:themeColor="text1"/>
              </w:rPr>
              <w:t>98.75%</w:t>
            </w:r>
          </w:p>
        </w:tc>
        <w:tc>
          <w:tcPr>
            <w:tcW w:w="1127" w:type="pct"/>
            <w:vAlign w:val="center"/>
          </w:tcPr>
          <w:p w14:paraId="1603BA2D" w14:textId="5F415E68" w:rsidR="00C843AF" w:rsidRPr="00794BA1" w:rsidRDefault="00C843AF" w:rsidP="002F2336">
            <w:pPr>
              <w:jc w:val="center"/>
              <w:rPr>
                <w:color w:val="000000" w:themeColor="text1"/>
              </w:rPr>
            </w:pPr>
            <w:r w:rsidRPr="00794BA1">
              <w:rPr>
                <w:color w:val="000000" w:themeColor="text1"/>
              </w:rPr>
              <w:t>99.00%</w:t>
            </w:r>
          </w:p>
        </w:tc>
      </w:tr>
      <w:tr w:rsidR="00C843AF" w:rsidRPr="00ED172B" w14:paraId="710D542D" w14:textId="756C8AD1" w:rsidTr="00E415ED">
        <w:trPr>
          <w:trHeight w:val="357"/>
        </w:trPr>
        <w:tc>
          <w:tcPr>
            <w:tcW w:w="488" w:type="pct"/>
            <w:shd w:val="clear" w:color="auto" w:fill="auto"/>
          </w:tcPr>
          <w:p w14:paraId="557BCF0C" w14:textId="6B9B0AD0" w:rsidR="00C843AF" w:rsidRPr="00ED172B" w:rsidRDefault="00C843AF" w:rsidP="00D21F29">
            <w:pPr>
              <w:jc w:val="center"/>
              <w:rPr>
                <w:rFonts w:cs="Arial"/>
                <w:color w:val="000000" w:themeColor="text1"/>
                <w:szCs w:val="16"/>
              </w:rPr>
            </w:pPr>
            <w:r w:rsidRPr="00ED172B">
              <w:rPr>
                <w:rFonts w:cs="Arial"/>
                <w:color w:val="000000" w:themeColor="text1"/>
                <w:szCs w:val="16"/>
              </w:rPr>
              <w:t>Target B&gt;=</w:t>
            </w:r>
          </w:p>
        </w:tc>
        <w:tc>
          <w:tcPr>
            <w:tcW w:w="1130" w:type="pct"/>
            <w:shd w:val="clear" w:color="auto" w:fill="auto"/>
            <w:vAlign w:val="center"/>
          </w:tcPr>
          <w:p w14:paraId="2EE14986" w14:textId="19D08E1A" w:rsidR="00C843AF" w:rsidRPr="00ED172B" w:rsidRDefault="00C843AF" w:rsidP="002F2336">
            <w:pPr>
              <w:jc w:val="center"/>
              <w:rPr>
                <w:color w:val="000000" w:themeColor="text1"/>
              </w:rPr>
            </w:pPr>
            <w:r w:rsidRPr="00ED172B">
              <w:rPr>
                <w:color w:val="000000" w:themeColor="text1"/>
              </w:rPr>
              <w:t>97.25%</w:t>
            </w:r>
          </w:p>
        </w:tc>
        <w:tc>
          <w:tcPr>
            <w:tcW w:w="1127" w:type="pct"/>
            <w:vAlign w:val="center"/>
          </w:tcPr>
          <w:p w14:paraId="45E8EA8A" w14:textId="192846CF" w:rsidR="00C843AF" w:rsidRPr="00794BA1" w:rsidRDefault="00C843AF" w:rsidP="002F2336">
            <w:pPr>
              <w:jc w:val="center"/>
              <w:rPr>
                <w:color w:val="000000" w:themeColor="text1"/>
              </w:rPr>
            </w:pPr>
            <w:r w:rsidRPr="00794BA1">
              <w:rPr>
                <w:color w:val="000000" w:themeColor="text1"/>
              </w:rPr>
              <w:t>97.50%</w:t>
            </w:r>
          </w:p>
        </w:tc>
        <w:tc>
          <w:tcPr>
            <w:tcW w:w="1127" w:type="pct"/>
            <w:vAlign w:val="center"/>
          </w:tcPr>
          <w:p w14:paraId="137A8927" w14:textId="39313DAE" w:rsidR="00C843AF" w:rsidRPr="00794BA1" w:rsidRDefault="00C843AF" w:rsidP="002F2336">
            <w:pPr>
              <w:jc w:val="center"/>
              <w:rPr>
                <w:color w:val="000000" w:themeColor="text1"/>
              </w:rPr>
            </w:pPr>
            <w:r w:rsidRPr="00794BA1">
              <w:rPr>
                <w:color w:val="000000" w:themeColor="text1"/>
              </w:rPr>
              <w:t>97.75%</w:t>
            </w:r>
          </w:p>
        </w:tc>
        <w:tc>
          <w:tcPr>
            <w:tcW w:w="1127" w:type="pct"/>
            <w:vAlign w:val="center"/>
          </w:tcPr>
          <w:p w14:paraId="4F3E4B3B" w14:textId="311804D1" w:rsidR="00C843AF" w:rsidRPr="00794BA1" w:rsidRDefault="00C843AF" w:rsidP="002F2336">
            <w:pPr>
              <w:jc w:val="center"/>
              <w:rPr>
                <w:color w:val="000000" w:themeColor="text1"/>
              </w:rPr>
            </w:pPr>
            <w:r w:rsidRPr="00794BA1">
              <w:rPr>
                <w:color w:val="000000" w:themeColor="text1"/>
              </w:rPr>
              <w:t>98.00%</w:t>
            </w:r>
          </w:p>
        </w:tc>
      </w:tr>
      <w:tr w:rsidR="00C843AF" w:rsidRPr="00ED172B" w14:paraId="6BF95698" w14:textId="57A8B0C9" w:rsidTr="00E415ED">
        <w:trPr>
          <w:trHeight w:val="357"/>
        </w:trPr>
        <w:tc>
          <w:tcPr>
            <w:tcW w:w="488" w:type="pct"/>
            <w:shd w:val="clear" w:color="auto" w:fill="auto"/>
          </w:tcPr>
          <w:p w14:paraId="27634074" w14:textId="35FAB710" w:rsidR="00C843AF" w:rsidRPr="00ED172B" w:rsidRDefault="00C843AF" w:rsidP="00D21F29">
            <w:pPr>
              <w:jc w:val="center"/>
              <w:rPr>
                <w:rFonts w:cs="Arial"/>
                <w:color w:val="000000" w:themeColor="text1"/>
                <w:szCs w:val="16"/>
              </w:rPr>
            </w:pPr>
            <w:r w:rsidRPr="00ED172B">
              <w:rPr>
                <w:rFonts w:cs="Arial"/>
                <w:color w:val="000000" w:themeColor="text1"/>
                <w:szCs w:val="16"/>
              </w:rPr>
              <w:t>Target C&gt;=</w:t>
            </w:r>
          </w:p>
        </w:tc>
        <w:tc>
          <w:tcPr>
            <w:tcW w:w="1130" w:type="pct"/>
            <w:shd w:val="clear" w:color="auto" w:fill="auto"/>
            <w:vAlign w:val="center"/>
          </w:tcPr>
          <w:p w14:paraId="51F920AE" w14:textId="186AEDBE" w:rsidR="00C843AF" w:rsidRPr="00ED172B" w:rsidRDefault="00C843AF" w:rsidP="002F2336">
            <w:pPr>
              <w:jc w:val="center"/>
              <w:rPr>
                <w:color w:val="000000" w:themeColor="text1"/>
              </w:rPr>
            </w:pPr>
            <w:r w:rsidRPr="00ED172B">
              <w:rPr>
                <w:color w:val="000000" w:themeColor="text1"/>
              </w:rPr>
              <w:t>95.25%</w:t>
            </w:r>
          </w:p>
        </w:tc>
        <w:tc>
          <w:tcPr>
            <w:tcW w:w="1127" w:type="pct"/>
            <w:vAlign w:val="center"/>
          </w:tcPr>
          <w:p w14:paraId="29A82995" w14:textId="6F06C337" w:rsidR="00C843AF" w:rsidRPr="00794BA1" w:rsidRDefault="00C843AF" w:rsidP="002F2336">
            <w:pPr>
              <w:jc w:val="center"/>
              <w:rPr>
                <w:color w:val="000000" w:themeColor="text1"/>
              </w:rPr>
            </w:pPr>
            <w:r w:rsidRPr="00794BA1">
              <w:rPr>
                <w:color w:val="000000" w:themeColor="text1"/>
              </w:rPr>
              <w:t>95.50%</w:t>
            </w:r>
          </w:p>
        </w:tc>
        <w:tc>
          <w:tcPr>
            <w:tcW w:w="1127" w:type="pct"/>
            <w:vAlign w:val="center"/>
          </w:tcPr>
          <w:p w14:paraId="3350033C" w14:textId="717C16E7" w:rsidR="00C843AF" w:rsidRPr="00794BA1" w:rsidRDefault="00C843AF" w:rsidP="002F2336">
            <w:pPr>
              <w:jc w:val="center"/>
              <w:rPr>
                <w:color w:val="000000" w:themeColor="text1"/>
              </w:rPr>
            </w:pPr>
            <w:r w:rsidRPr="00794BA1">
              <w:rPr>
                <w:color w:val="000000" w:themeColor="text1"/>
              </w:rPr>
              <w:t>95.75%</w:t>
            </w:r>
          </w:p>
        </w:tc>
        <w:tc>
          <w:tcPr>
            <w:tcW w:w="1127" w:type="pct"/>
            <w:vAlign w:val="center"/>
          </w:tcPr>
          <w:p w14:paraId="5AA59638" w14:textId="40879AEC" w:rsidR="00C843AF" w:rsidRPr="00794BA1" w:rsidRDefault="00C843AF" w:rsidP="002F2336">
            <w:pPr>
              <w:jc w:val="center"/>
              <w:rPr>
                <w:color w:val="000000" w:themeColor="text1"/>
              </w:rPr>
            </w:pPr>
            <w:r w:rsidRPr="00794BA1">
              <w:rPr>
                <w:color w:val="000000" w:themeColor="text1"/>
              </w:rPr>
              <w:t>96.00%</w:t>
            </w:r>
          </w:p>
        </w:tc>
      </w:tr>
    </w:tbl>
    <w:bookmarkEnd w:id="23"/>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78B16FF" w14:textId="110BF975" w:rsidR="00C57F17" w:rsidRDefault="00CF03E0" w:rsidP="00CF03E0">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7519933C" w14:textId="63B27792" w:rsidR="006902F0" w:rsidRPr="00ED172B" w:rsidRDefault="006902F0" w:rsidP="00B83404">
      <w:pPr>
        <w:rPr>
          <w:color w:val="000000" w:themeColor="text1"/>
        </w:rPr>
      </w:pPr>
    </w:p>
    <w:p w14:paraId="3FB4EB9B" w14:textId="77777777" w:rsidR="007011EC" w:rsidRPr="00ED172B" w:rsidRDefault="007011EC" w:rsidP="00F80C9C">
      <w:pPr>
        <w:rPr>
          <w:rFonts w:cs="Arial"/>
          <w:color w:val="000000" w:themeColor="text1"/>
          <w:szCs w:val="16"/>
        </w:rPr>
      </w:pPr>
    </w:p>
    <w:p w14:paraId="03DEBF84" w14:textId="2382E008" w:rsidR="004D140B" w:rsidRPr="00ED172B" w:rsidRDefault="00F22D09">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4" w:name="_Toc392159275"/>
            <w:bookmarkStart w:id="25" w:name="_Toc382082367"/>
            <w:bookmarkStart w:id="26" w:name="_Toc392159276"/>
            <w:r w:rsidRPr="00ED172B">
              <w:rPr>
                <w:rFonts w:cs="Arial"/>
                <w:color w:val="000000" w:themeColor="text1"/>
                <w:szCs w:val="16"/>
              </w:rPr>
              <w:t>The number of families to whom surveys were distributed</w:t>
            </w:r>
          </w:p>
        </w:tc>
        <w:tc>
          <w:tcPr>
            <w:tcW w:w="665" w:type="pct"/>
            <w:shd w:val="clear" w:color="auto" w:fill="auto"/>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1,947</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141</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7.24%</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134</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139</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132</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141</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lastRenderedPageBreak/>
              <w:t>C1. Number of respondent families participating in Part C who report that early intervention services have helped the family help their children develop and learn</w:t>
            </w:r>
          </w:p>
        </w:tc>
        <w:tc>
          <w:tcPr>
            <w:tcW w:w="665" w:type="pct"/>
            <w:shd w:val="clear" w:color="auto" w:fill="auto"/>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133</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140</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shd w:val="clear" w:color="auto" w:fill="auto"/>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14:paraId="1B40DAB0" w14:textId="146FD13D" w:rsidR="004B755C" w:rsidRPr="00ED172B" w:rsidRDefault="00CD74B5" w:rsidP="004B755C">
            <w:pPr>
              <w:jc w:val="center"/>
              <w:rPr>
                <w:rFonts w:cs="Arial"/>
                <w:b/>
                <w:color w:val="000000" w:themeColor="text1"/>
                <w:szCs w:val="16"/>
              </w:rPr>
            </w:pPr>
            <w:r>
              <w:rPr>
                <w:rFonts w:cs="Arial"/>
                <w:b/>
                <w:color w:val="000000" w:themeColor="text1"/>
                <w:szCs w:val="16"/>
              </w:rPr>
              <w:t>FFY 2021 Data</w:t>
            </w:r>
          </w:p>
        </w:tc>
        <w:tc>
          <w:tcPr>
            <w:tcW w:w="626" w:type="pct"/>
            <w:shd w:val="clear" w:color="auto" w:fill="auto"/>
            <w:vAlign w:val="bottom"/>
          </w:tcPr>
          <w:p w14:paraId="68283261" w14:textId="20BAD02D" w:rsidR="004B755C" w:rsidRPr="00ED172B" w:rsidRDefault="00F22D09" w:rsidP="004B755C">
            <w:pPr>
              <w:jc w:val="center"/>
              <w:rPr>
                <w:rFonts w:cs="Arial"/>
                <w:b/>
                <w:color w:val="000000" w:themeColor="text1"/>
                <w:szCs w:val="16"/>
              </w:rPr>
            </w:pPr>
            <w:r>
              <w:rPr>
                <w:rFonts w:cs="Arial"/>
                <w:b/>
                <w:color w:val="000000" w:themeColor="text1"/>
                <w:szCs w:val="16"/>
              </w:rPr>
              <w:t>FFY 2022 Target</w:t>
            </w:r>
          </w:p>
        </w:tc>
        <w:tc>
          <w:tcPr>
            <w:tcW w:w="667" w:type="pct"/>
            <w:shd w:val="clear" w:color="auto" w:fill="auto"/>
            <w:vAlign w:val="bottom"/>
          </w:tcPr>
          <w:p w14:paraId="7105063D" w14:textId="39D11EF9" w:rsidR="004B755C" w:rsidRPr="00ED172B" w:rsidRDefault="00F22D09" w:rsidP="004B755C">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shd w:val="clear" w:color="auto" w:fill="auto"/>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97.49%</w:t>
            </w:r>
          </w:p>
        </w:tc>
        <w:tc>
          <w:tcPr>
            <w:tcW w:w="626" w:type="pct"/>
            <w:shd w:val="clear" w:color="auto" w:fill="auto"/>
            <w:vAlign w:val="center"/>
          </w:tcPr>
          <w:p w14:paraId="4A24E7CC" w14:textId="4BA3C3ED" w:rsidR="00D20529" w:rsidRPr="00ED172B" w:rsidRDefault="00291EA9" w:rsidP="00291EA9">
            <w:pPr>
              <w:jc w:val="center"/>
              <w:rPr>
                <w:color w:val="000000" w:themeColor="text1"/>
              </w:rPr>
            </w:pPr>
            <w:r w:rsidRPr="00ED172B">
              <w:rPr>
                <w:color w:val="000000" w:themeColor="text1"/>
              </w:rPr>
              <w:t>98.25%</w:t>
            </w:r>
          </w:p>
        </w:tc>
        <w:tc>
          <w:tcPr>
            <w:tcW w:w="667" w:type="pct"/>
            <w:shd w:val="clear" w:color="auto" w:fill="auto"/>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96.40%</w:t>
            </w:r>
          </w:p>
        </w:tc>
        <w:tc>
          <w:tcPr>
            <w:tcW w:w="542" w:type="pct"/>
            <w:shd w:val="clear" w:color="auto" w:fill="auto"/>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r w:rsidR="00ED172B" w:rsidRPr="00ED172B" w14:paraId="142BDFFF" w14:textId="2297D36E" w:rsidTr="00986B99">
        <w:trPr>
          <w:trHeight w:val="361"/>
        </w:trPr>
        <w:tc>
          <w:tcPr>
            <w:tcW w:w="2041" w:type="pct"/>
            <w:shd w:val="clear" w:color="auto" w:fill="auto"/>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93.87%</w:t>
            </w:r>
          </w:p>
        </w:tc>
        <w:tc>
          <w:tcPr>
            <w:tcW w:w="626" w:type="pct"/>
            <w:shd w:val="clear" w:color="auto" w:fill="auto"/>
            <w:vAlign w:val="center"/>
          </w:tcPr>
          <w:p w14:paraId="383B5286" w14:textId="71CDE4D7" w:rsidR="00D20529" w:rsidRPr="00ED172B" w:rsidRDefault="00291EA9" w:rsidP="00291EA9">
            <w:pPr>
              <w:jc w:val="center"/>
              <w:rPr>
                <w:color w:val="000000" w:themeColor="text1"/>
              </w:rPr>
            </w:pPr>
            <w:r w:rsidRPr="00ED172B">
              <w:rPr>
                <w:color w:val="000000" w:themeColor="text1"/>
              </w:rPr>
              <w:t>97.25%</w:t>
            </w:r>
          </w:p>
        </w:tc>
        <w:tc>
          <w:tcPr>
            <w:tcW w:w="667" w:type="pct"/>
            <w:shd w:val="clear" w:color="auto" w:fill="auto"/>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93.62%</w:t>
            </w:r>
          </w:p>
        </w:tc>
        <w:tc>
          <w:tcPr>
            <w:tcW w:w="542" w:type="pct"/>
            <w:shd w:val="clear" w:color="auto" w:fill="auto"/>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431428E4" w14:textId="78B5A0F3" w:rsidTr="00986B99">
        <w:trPr>
          <w:trHeight w:val="361"/>
        </w:trPr>
        <w:tc>
          <w:tcPr>
            <w:tcW w:w="2041" w:type="pct"/>
            <w:shd w:val="clear" w:color="auto" w:fill="auto"/>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96.37%</w:t>
            </w:r>
          </w:p>
        </w:tc>
        <w:tc>
          <w:tcPr>
            <w:tcW w:w="626" w:type="pct"/>
            <w:shd w:val="clear" w:color="auto" w:fill="auto"/>
            <w:vAlign w:val="center"/>
          </w:tcPr>
          <w:p w14:paraId="76133FD1" w14:textId="24F530F0" w:rsidR="00D20529" w:rsidRPr="00ED172B" w:rsidRDefault="00291EA9" w:rsidP="00291EA9">
            <w:pPr>
              <w:jc w:val="center"/>
              <w:rPr>
                <w:color w:val="000000" w:themeColor="text1"/>
              </w:rPr>
            </w:pPr>
            <w:r w:rsidRPr="00ED172B">
              <w:rPr>
                <w:color w:val="000000" w:themeColor="text1"/>
              </w:rPr>
              <w:t>95.25%</w:t>
            </w:r>
          </w:p>
        </w:tc>
        <w:tc>
          <w:tcPr>
            <w:tcW w:w="667" w:type="pct"/>
            <w:shd w:val="clear" w:color="auto" w:fill="auto"/>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95.00%</w:t>
            </w:r>
          </w:p>
        </w:tc>
        <w:tc>
          <w:tcPr>
            <w:tcW w:w="542" w:type="pct"/>
            <w:shd w:val="clear" w:color="auto" w:fill="auto"/>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bl>
    <w:p w14:paraId="7E03B690" w14:textId="77777777" w:rsidR="00BD192E" w:rsidRPr="00ED172B" w:rsidRDefault="00BD192E" w:rsidP="00BD192E">
      <w:pPr>
        <w:rPr>
          <w:rFonts w:cs="Arial"/>
          <w:b/>
          <w:i/>
          <w:color w:val="000000" w:themeColor="text1"/>
          <w:szCs w:val="16"/>
        </w:rPr>
      </w:pPr>
      <w:r w:rsidRPr="00ED172B">
        <w:rPr>
          <w:rFonts w:cs="Arial"/>
          <w:b/>
          <w:color w:val="000000" w:themeColor="text1"/>
          <w:szCs w:val="16"/>
        </w:rPr>
        <w:t xml:space="preserve">Provide reasons for part A slippage, if applicable </w:t>
      </w:r>
    </w:p>
    <w:p w14:paraId="5E914073" w14:textId="77777777" w:rsidR="00BD192E" w:rsidRDefault="00BD192E" w:rsidP="00BD192E">
      <w:pPr>
        <w:rPr>
          <w:color w:val="000000" w:themeColor="text1"/>
        </w:rPr>
      </w:pPr>
      <w:r w:rsidRPr="00ED172B">
        <w:rPr>
          <w:color w:val="000000" w:themeColor="text1"/>
        </w:rPr>
        <w:t>These data are based on responses to Question 13 of Family Survey 2023: “My IFSP team helps me know my parent rights regarding early intervention services (the procedural safeguards that are in the parent handbook).” Of the 139 respondents who answered this question, 134 agreed or strongly agreed with this question (134/139 = 96.4%). Five (5) families (5/139 = 3.6%) responded that they were undecided. No one indicated disagreement in their responses. None of the parent comments directly addressed parent rights. Therefore, slippage likely occurred this year due to problems with getting the survey out to families in a timely manner due to damage to our office from two (2) floods which affected the ability of the office staff to distribute surveys to families and receive them back in the mail. This issue with sending and receiving surveys resulted in a much lower response rate than in previous years.</w:t>
      </w:r>
    </w:p>
    <w:p w14:paraId="6047F573" w14:textId="2FF67451" w:rsidR="007F63D9" w:rsidRPr="00ED172B" w:rsidRDefault="00F77D8B" w:rsidP="007F63D9">
      <w:pPr>
        <w:rPr>
          <w:rFonts w:cs="Arial"/>
          <w:b/>
          <w:i/>
          <w:color w:val="000000" w:themeColor="text1"/>
          <w:szCs w:val="16"/>
        </w:rPr>
      </w:pPr>
      <w:r w:rsidRPr="00ED172B">
        <w:rPr>
          <w:rFonts w:cs="Arial"/>
          <w:b/>
          <w:color w:val="000000" w:themeColor="text1"/>
          <w:szCs w:val="16"/>
        </w:rPr>
        <w:t>Provide reasons for part C slippage, if applicable</w:t>
      </w:r>
    </w:p>
    <w:p w14:paraId="43A01F75" w14:textId="7B2C6645" w:rsidR="007F63D9" w:rsidRDefault="00291EA9" w:rsidP="00291EA9">
      <w:pPr>
        <w:rPr>
          <w:color w:val="000000" w:themeColor="text1"/>
        </w:rPr>
      </w:pPr>
      <w:r w:rsidRPr="00ED172B">
        <w:rPr>
          <w:color w:val="000000" w:themeColor="text1"/>
        </w:rPr>
        <w:t>These data are based on responses to Question 14 of Family Survey 2023: “My Early Intervention providers have supported me in knowing how to help my child develop and learn.” Of the 140 respondents who answered this question, 133 agreed or strongly agreed with this question (133/140 = 95.00). Six (6) families (6/140 = 4.3%) responded that they were undecided. One (1) respondent indicated “disagree” (1/140 = .7%). Comments from the parent survey that may indicate reasons for slippage in this area include: “wanting different aids that special children need”; “providers were respectful but did not help [their] child’s speech”; “the high staff turnover was a problem with receiving timely services”; “staff missed sessions and comps are still owed”; and “not enough services, one time a month is not enough and zoom is not effective.” In addition, slippage likely occurred this year due to problems with getting the survey out to families in a timely manner due to damage to our office from two (2) floods which affected the ability of the office staff to distribute surveys to families and receive them back in the mail. This issue with sending and receiving surveys resulted in a much lower response rate than in previous years.</w:t>
      </w:r>
    </w:p>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4"/>
        <w:gridCol w:w="2266"/>
      </w:tblGrid>
      <w:tr w:rsidR="00ED172B" w:rsidRPr="00ED172B" w14:paraId="0407055E" w14:textId="77777777" w:rsidTr="00A40EE1">
        <w:trPr>
          <w:tblHeader/>
        </w:trPr>
        <w:tc>
          <w:tcPr>
            <w:tcW w:w="3950"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0"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470774">
        <w:tc>
          <w:tcPr>
            <w:tcW w:w="3950"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0" w:type="pct"/>
          </w:tcPr>
          <w:p w14:paraId="7F712EBC" w14:textId="0CC49D8E"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470774">
        <w:tc>
          <w:tcPr>
            <w:tcW w:w="3950"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0" w:type="pct"/>
          </w:tcPr>
          <w:p w14:paraId="703575B9" w14:textId="567842E0"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2D915B3D" w14:textId="77777777" w:rsidTr="00470774">
        <w:tc>
          <w:tcPr>
            <w:tcW w:w="3950" w:type="pct"/>
          </w:tcPr>
          <w:p w14:paraId="5F7B6E1E" w14:textId="71A7764E" w:rsidR="00013004" w:rsidRPr="00ED172B" w:rsidRDefault="00013004" w:rsidP="00781A26">
            <w:pPr>
              <w:rPr>
                <w:rFonts w:cs="Arial"/>
                <w:color w:val="000000" w:themeColor="text1"/>
                <w:szCs w:val="16"/>
              </w:rPr>
            </w:pPr>
            <w:r w:rsidRPr="00ED172B">
              <w:rPr>
                <w:rFonts w:cs="Arial"/>
                <w:color w:val="000000" w:themeColor="text1"/>
                <w:szCs w:val="16"/>
              </w:rPr>
              <w:t>If your collection tool has changed, upload it here.</w:t>
            </w:r>
          </w:p>
        </w:tc>
        <w:tc>
          <w:tcPr>
            <w:tcW w:w="1050" w:type="pct"/>
          </w:tcPr>
          <w:p w14:paraId="1D3C4E37" w14:textId="4B752F95" w:rsidR="00013004" w:rsidRPr="00ED172B" w:rsidRDefault="00860830" w:rsidP="009B2EB4">
            <w:pPr>
              <w:rPr>
                <w:rFonts w:cs="Arial"/>
                <w:color w:val="000000" w:themeColor="text1"/>
                <w:szCs w:val="16"/>
              </w:rPr>
            </w:pPr>
            <w:r w:rsidRPr="00ED172B">
              <w:rPr>
                <w:rFonts w:cs="Arial"/>
                <w:color w:val="000000" w:themeColor="text1"/>
                <w:szCs w:val="16"/>
              </w:rPr>
              <w:t>2023 Family Outcomes Survey</w:t>
            </w:r>
          </w:p>
        </w:tc>
      </w:tr>
      <w:tr w:rsidR="00ED172B" w:rsidRPr="00ED172B" w14:paraId="30DE3B0A" w14:textId="77777777" w:rsidTr="00470774">
        <w:tc>
          <w:tcPr>
            <w:tcW w:w="3950" w:type="pct"/>
          </w:tcPr>
          <w:p w14:paraId="68829E9A" w14:textId="1B49470D" w:rsidR="00013004" w:rsidRPr="00ED172B" w:rsidRDefault="00013004" w:rsidP="00781A26">
            <w:pPr>
              <w:rPr>
                <w:rFonts w:cs="Arial"/>
                <w:color w:val="000000" w:themeColor="text1"/>
                <w:szCs w:val="16"/>
              </w:rPr>
            </w:pPr>
          </w:p>
        </w:tc>
        <w:tc>
          <w:tcPr>
            <w:tcW w:w="1050" w:type="pct"/>
          </w:tcPr>
          <w:p w14:paraId="760B76EC" w14:textId="65378BCC" w:rsidR="00013004" w:rsidRPr="00ED172B" w:rsidRDefault="00013004" w:rsidP="009B2EB4">
            <w:pPr>
              <w:rPr>
                <w:rFonts w:cs="Arial"/>
                <w:color w:val="000000" w:themeColor="text1"/>
                <w:szCs w:val="16"/>
              </w:rPr>
            </w:pPr>
          </w:p>
        </w:tc>
      </w:tr>
    </w:tbl>
    <w:p w14:paraId="1EC7965B" w14:textId="77777777" w:rsidR="00437F97" w:rsidRDefault="00437F97" w:rsidP="00437F97">
      <w:pPr>
        <w:rPr>
          <w:rFonts w:cs="Arial"/>
          <w:b/>
          <w:color w:val="000000" w:themeColor="text1"/>
          <w:szCs w:val="16"/>
        </w:rPr>
      </w:pPr>
    </w:p>
    <w:p w14:paraId="13E7C533" w14:textId="7A868FC9"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shd w:val="clear" w:color="auto" w:fill="auto"/>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2021</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2022</w:t>
            </w:r>
          </w:p>
        </w:tc>
      </w:tr>
      <w:tr w:rsidR="00550FC1" w:rsidRPr="00794BA1" w14:paraId="0C44F5DB" w14:textId="77777777" w:rsidTr="0055373D">
        <w:trPr>
          <w:trHeight w:val="357"/>
        </w:trPr>
        <w:tc>
          <w:tcPr>
            <w:tcW w:w="888" w:type="pct"/>
            <w:shd w:val="clear" w:color="auto" w:fill="auto"/>
          </w:tcPr>
          <w:p w14:paraId="58E7AE90" w14:textId="63CAE46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shd w:val="clear" w:color="auto" w:fill="auto"/>
            <w:vAlign w:val="center"/>
          </w:tcPr>
          <w:p w14:paraId="4B20A07B" w14:textId="0AA48EA3" w:rsidR="00550FC1" w:rsidRPr="00ED172B" w:rsidRDefault="00550FC1" w:rsidP="00B073DB">
            <w:pPr>
              <w:jc w:val="center"/>
              <w:rPr>
                <w:color w:val="000000" w:themeColor="text1"/>
              </w:rPr>
            </w:pPr>
            <w:r w:rsidRPr="00ED172B">
              <w:rPr>
                <w:color w:val="000000" w:themeColor="text1"/>
              </w:rPr>
              <w:t>20.02%</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7.24%</w:t>
            </w:r>
          </w:p>
        </w:tc>
      </w:tr>
    </w:tbl>
    <w:p w14:paraId="751565F3" w14:textId="77777777" w:rsidR="00BD192E" w:rsidRDefault="00BD192E" w:rsidP="00437F97">
      <w:pPr>
        <w:rPr>
          <w:rFonts w:cs="Arial"/>
          <w:b/>
          <w:color w:val="000000" w:themeColor="text1"/>
          <w:szCs w:val="16"/>
        </w:rPr>
      </w:pPr>
    </w:p>
    <w:p w14:paraId="620CE314" w14:textId="145F157A" w:rsidR="00437F97" w:rsidRPr="005E75A0" w:rsidRDefault="00437F97" w:rsidP="00437F97">
      <w:pPr>
        <w:rPr>
          <w:rFonts w:cs="Arial"/>
          <w:b/>
          <w:color w:val="000000" w:themeColor="text1"/>
          <w:szCs w:val="16"/>
        </w:rPr>
      </w:pPr>
      <w:r w:rsidRPr="005E75A0">
        <w:rPr>
          <w:rFonts w:cs="Arial"/>
          <w:b/>
          <w:color w:val="000000" w:themeColor="text1"/>
          <w:szCs w:val="16"/>
        </w:rPr>
        <w:t>Describe the metric used to determine representativeness (e.g., +/- 3% discrepancy, age of the infant or toddler, and geographic location in the proportion of responders compared to target group).</w:t>
      </w:r>
    </w:p>
    <w:p w14:paraId="406DCC06" w14:textId="77777777" w:rsidR="00437F97" w:rsidRPr="00F85A5B" w:rsidRDefault="00437F97" w:rsidP="00437F97">
      <w:pPr>
        <w:rPr>
          <w:rFonts w:cs="Arial"/>
          <w:color w:val="000000" w:themeColor="text1"/>
          <w:szCs w:val="16"/>
        </w:rPr>
      </w:pPr>
      <w:r w:rsidRPr="00ED172B">
        <w:rPr>
          <w:rFonts w:cs="Arial"/>
          <w:color w:val="000000" w:themeColor="text1"/>
          <w:szCs w:val="16"/>
        </w:rPr>
        <w:t>Using the Representativeness Calculator from Early Childhood Technical Assistance (ECTA) Center, Nevada’s data were used to compare the percentages of the statewide survey distribution and response representativeness for each race/ethnicity, Hispanic Origin, respondent language, as well as the rate of return for each category.</w:t>
      </w:r>
      <w:r w:rsidRPr="00ED172B">
        <w:rPr>
          <w:rFonts w:cs="Arial"/>
          <w:color w:val="000000" w:themeColor="text1"/>
          <w:szCs w:val="16"/>
        </w:rPr>
        <w:br/>
      </w:r>
      <w:r w:rsidRPr="00ED172B">
        <w:rPr>
          <w:rFonts w:cs="Arial"/>
          <w:color w:val="000000" w:themeColor="text1"/>
          <w:szCs w:val="16"/>
        </w:rPr>
        <w:br/>
        <w:t>Nevada found that responses to the survey were representative of Race overall according to the Representativeness Calculator. However, two categories of race (African American or Black, and American Indian or Alaska Native) were not representative, therefore it cannot be said that the demographics of the infants or toddlers for whom families responded are representative of the demographics of infants and toddlers enrolled in the Part C program. African American or Black, American Indian or Alaska Native populations account for a small percentage of children receiving services therefore the absence of even a few surveys from these populations can significantly impact the representativeness of these populations.</w:t>
      </w:r>
      <w:r w:rsidRPr="00ED172B">
        <w:rPr>
          <w:rFonts w:cs="Arial"/>
          <w:color w:val="000000" w:themeColor="text1"/>
          <w:szCs w:val="16"/>
        </w:rPr>
        <w:br/>
      </w:r>
      <w:r w:rsidRPr="00ED172B">
        <w:rPr>
          <w:rFonts w:cs="Arial"/>
          <w:color w:val="000000" w:themeColor="text1"/>
          <w:szCs w:val="16"/>
        </w:rPr>
        <w:lastRenderedPageBreak/>
        <w:t>African American or Black data were not representative of the population (# families in target = 197, # responded = 6, target representation = 16%, actual representation = 6%, difference between target and actual = -10%)</w:t>
      </w:r>
      <w:r w:rsidRPr="00ED172B">
        <w:rPr>
          <w:rFonts w:cs="Arial"/>
          <w:color w:val="000000" w:themeColor="text1"/>
          <w:szCs w:val="16"/>
        </w:rPr>
        <w:br/>
        <w:t>American Indian or Alaska Native data were not representative of the population (# families in target = 8, # responded = 0, target representation 1%, actual representation = 0%, difference between target and actual = -1%)</w:t>
      </w:r>
      <w:r w:rsidRPr="00ED172B">
        <w:rPr>
          <w:rFonts w:cs="Arial"/>
          <w:color w:val="000000" w:themeColor="text1"/>
          <w:szCs w:val="16"/>
        </w:rPr>
        <w:br/>
        <w:t>Asian data were representative of the population (# families in target = 93, # responded = 9, target representation = 8%, actual representation = 9%, difference between target and actual = 1%)</w:t>
      </w:r>
      <w:r w:rsidRPr="00ED172B">
        <w:rPr>
          <w:rFonts w:cs="Arial"/>
          <w:color w:val="000000" w:themeColor="text1"/>
          <w:szCs w:val="16"/>
        </w:rPr>
        <w:br/>
        <w:t>Native Hawaiian or Pacific Islander were representative of the population (# families in target = 14, # responded = 1, target representation = 1%, actual representation = 1%, difference between target and actual = 0%)</w:t>
      </w:r>
      <w:r w:rsidRPr="00ED172B">
        <w:rPr>
          <w:rFonts w:cs="Arial"/>
          <w:color w:val="000000" w:themeColor="text1"/>
          <w:szCs w:val="16"/>
        </w:rPr>
        <w:br/>
        <w:t>White data were representative of the population (# families in target = 721, # responded = 66, target representation = 60%, actual representation = 65%, difference between target and actual = 5%)</w:t>
      </w:r>
      <w:r w:rsidRPr="00ED172B">
        <w:rPr>
          <w:rFonts w:cs="Arial"/>
          <w:color w:val="000000" w:themeColor="text1"/>
          <w:szCs w:val="16"/>
        </w:rPr>
        <w:br/>
        <w:t>Two or More Races were representative of the population (# families in target = 177, # responded = 20, target representation = 15%, actual representation = 20%, difference between target and actual = 5%)</w:t>
      </w:r>
      <w:r w:rsidRPr="00ED172B">
        <w:rPr>
          <w:rFonts w:cs="Arial"/>
          <w:color w:val="000000" w:themeColor="text1"/>
          <w:szCs w:val="16"/>
        </w:rPr>
        <w:br/>
      </w:r>
      <w:r w:rsidRPr="00ED172B">
        <w:rPr>
          <w:rFonts w:cs="Arial"/>
          <w:color w:val="000000" w:themeColor="text1"/>
          <w:szCs w:val="16"/>
        </w:rPr>
        <w:br/>
        <w:t>Nevada survey responses were not representative of the population when considering Hispanic Origin.</w:t>
      </w:r>
      <w:r w:rsidRPr="00ED172B">
        <w:rPr>
          <w:rFonts w:cs="Arial"/>
          <w:color w:val="000000" w:themeColor="text1"/>
          <w:szCs w:val="16"/>
        </w:rPr>
        <w:br/>
        <w:t>Hispanic Origin data were not representative (# families in target = 737, # responded = 34, target representation = 38%, actual representation = 25%, difference between target and actual = -13% )</w:t>
      </w:r>
      <w:r w:rsidRPr="00ED172B">
        <w:rPr>
          <w:rFonts w:cs="Arial"/>
          <w:color w:val="000000" w:themeColor="text1"/>
          <w:szCs w:val="16"/>
        </w:rPr>
        <w:br/>
        <w:t>Non-Hispanic Origin data were not representative (# families in target = 1210, # responded = 102, target representation = 62%, actual representation = 75%, difference between target and actual = 13% )</w:t>
      </w:r>
      <w:r w:rsidRPr="00ED172B">
        <w:rPr>
          <w:rFonts w:cs="Arial"/>
          <w:color w:val="000000" w:themeColor="text1"/>
          <w:szCs w:val="16"/>
        </w:rPr>
        <w:br/>
        <w:t xml:space="preserve">Previously data for Hispanic children were embedded with Race in the old data system. The new data system has a validation for correctly collecting Hispanic vs </w:t>
      </w:r>
      <w:proofErr w:type="gramStart"/>
      <w:r w:rsidRPr="00ED172B">
        <w:rPr>
          <w:rFonts w:cs="Arial"/>
          <w:color w:val="000000" w:themeColor="text1"/>
          <w:szCs w:val="16"/>
        </w:rPr>
        <w:t>Non-Hispanic</w:t>
      </w:r>
      <w:proofErr w:type="gramEnd"/>
      <w:r w:rsidRPr="00ED172B">
        <w:rPr>
          <w:rFonts w:cs="Arial"/>
          <w:color w:val="000000" w:themeColor="text1"/>
          <w:szCs w:val="16"/>
        </w:rPr>
        <w:t xml:space="preserve"> which will not allow any additional race/ethnicity data to be entered. The family survey as well as NEIDS have a written directive for families and service providers explaining that once Hispanic is indicated no other categories should be included. </w:t>
      </w:r>
      <w:r w:rsidRPr="00ED172B">
        <w:rPr>
          <w:rFonts w:cs="Arial"/>
          <w:color w:val="000000" w:themeColor="text1"/>
          <w:szCs w:val="16"/>
        </w:rPr>
        <w:br/>
      </w:r>
      <w:r w:rsidRPr="00ED172B">
        <w:rPr>
          <w:rFonts w:cs="Arial"/>
          <w:color w:val="000000" w:themeColor="text1"/>
          <w:szCs w:val="16"/>
        </w:rPr>
        <w:br/>
        <w:t xml:space="preserve">Respondent Language overall was representative. However, “other language” data were not representative as the survey was not provided in languages other than Spanish or English, therefore it cannot be said that the language of the infants or toddlers for whom families responded are representative of the language of infants and toddlers enrolled in the Part C program. </w:t>
      </w:r>
      <w:r w:rsidRPr="00ED172B">
        <w:rPr>
          <w:rFonts w:cs="Arial"/>
          <w:color w:val="000000" w:themeColor="text1"/>
          <w:szCs w:val="16"/>
        </w:rPr>
        <w:br/>
        <w:t>English data were representative (# families in target = 1741, # responded = 131, target representation = 89.4%, actual representation = 92.9%, difference between target and actual = 3.5%)</w:t>
      </w:r>
      <w:r w:rsidRPr="00ED172B">
        <w:rPr>
          <w:rFonts w:cs="Arial"/>
          <w:color w:val="000000" w:themeColor="text1"/>
          <w:szCs w:val="16"/>
        </w:rPr>
        <w:br/>
        <w:t>Spanish data were representative (# families in target = 187, # responded = 10, target representation = 9.6%, actual representation = 7.1%, difference between target and actual = -2.5%)</w:t>
      </w:r>
      <w:r w:rsidRPr="00ED172B">
        <w:rPr>
          <w:rFonts w:cs="Arial"/>
          <w:color w:val="000000" w:themeColor="text1"/>
          <w:szCs w:val="16"/>
        </w:rPr>
        <w:br/>
        <w:t>Other language data were not representative (# families in target = 19, # responded = 0, target representation = 1%, actual representation = 0%, difference between target and actual = -1%)</w:t>
      </w:r>
      <w:r w:rsidRPr="00ED172B">
        <w:rPr>
          <w:rFonts w:cs="Arial"/>
          <w:color w:val="000000" w:themeColor="text1"/>
          <w:szCs w:val="16"/>
        </w:rPr>
        <w:br/>
      </w:r>
      <w:r w:rsidRPr="00ED172B">
        <w:rPr>
          <w:rFonts w:cs="Arial"/>
          <w:color w:val="000000" w:themeColor="text1"/>
          <w:szCs w:val="16"/>
        </w:rPr>
        <w:br/>
        <w:t xml:space="preserve">Family Survey 2023 was only provided to families in either English or Spanish on hard copy and through Survey Monkey links. Those families that used the Spanish electronic survey or hard copy were counted in the respondent language of Spanish, as well as those families that responded on the English hard copy of the survey with written Spanish comments. It is likely that some families in the Spanish and Other Language categories responded on the English survey (hard copy or electronic) with comments in English (or </w:t>
      </w:r>
      <w:proofErr w:type="gramStart"/>
      <w:r w:rsidRPr="00ED172B">
        <w:rPr>
          <w:rFonts w:cs="Arial"/>
          <w:color w:val="000000" w:themeColor="text1"/>
          <w:szCs w:val="16"/>
        </w:rPr>
        <w:t>none at all</w:t>
      </w:r>
      <w:proofErr w:type="gramEnd"/>
      <w:r w:rsidRPr="00ED172B">
        <w:rPr>
          <w:rFonts w:cs="Arial"/>
          <w:color w:val="000000" w:themeColor="text1"/>
          <w:szCs w:val="16"/>
        </w:rPr>
        <w:t xml:space="preserve">) that are not captured in these data. Language data were collected from the old system of record TRAC in 2023. Language data will be collected from NEIDS in 2024. The Family Survey 2024 is to be translated into any language a survey eligible family </w:t>
      </w:r>
      <w:proofErr w:type="gramStart"/>
      <w:r w:rsidRPr="00ED172B">
        <w:rPr>
          <w:rFonts w:cs="Arial"/>
          <w:color w:val="000000" w:themeColor="text1"/>
          <w:szCs w:val="16"/>
        </w:rPr>
        <w:t>reports</w:t>
      </w:r>
      <w:proofErr w:type="gramEnd"/>
      <w:r w:rsidRPr="00ED172B">
        <w:rPr>
          <w:rFonts w:cs="Arial"/>
          <w:color w:val="000000" w:themeColor="text1"/>
          <w:szCs w:val="16"/>
        </w:rPr>
        <w:t xml:space="preserve"> in NEIDS. Families with translations will receive an English survey as well as their translated survey in 2024. In 2023 all Spanish speaking families received the survey in both Spanish and English.</w:t>
      </w:r>
    </w:p>
    <w:p w14:paraId="487053D7" w14:textId="77777777" w:rsidR="0084778F" w:rsidRDefault="0084778F" w:rsidP="00013004">
      <w:pPr>
        <w:rPr>
          <w:rFonts w:cs="Arial"/>
          <w:b/>
          <w:color w:val="000000" w:themeColor="text1"/>
          <w:szCs w:val="16"/>
        </w:rPr>
      </w:pPr>
    </w:p>
    <w:p w14:paraId="5A646F67" w14:textId="77777777" w:rsidR="00437F97" w:rsidRPr="005E75A0" w:rsidRDefault="00437F97" w:rsidP="00437F9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1C32899A" w14:textId="545EF832" w:rsidR="00437F97" w:rsidRPr="00437F97" w:rsidRDefault="00437F97" w:rsidP="00437F97">
      <w:pPr>
        <w:rPr>
          <w:b/>
          <w:color w:val="000000" w:themeColor="text1"/>
        </w:rPr>
      </w:pPr>
      <w:r w:rsidRPr="00437F97">
        <w:rPr>
          <w:rFonts w:cs="Arial"/>
          <w:bCs/>
          <w:color w:val="000000" w:themeColor="text1"/>
          <w:szCs w:val="16"/>
        </w:rPr>
        <w:t>Three (3) new questions were added to the survey this reporting year including household income, community geographic description (Urban/Suburban/Rural/Frontier/Prefer not to Answer), and parent/guardian highest level of education. These questions were added with stakeholder input from the ICC during discussion at their quarterly meeting in October 2022 for the Family Survey 2023 (March-May 2023). These questions were added to better describe the representativeness of different populations in our state (economic, education, and geographic location).</w:t>
      </w:r>
      <w:r w:rsidRPr="00437F97">
        <w:rPr>
          <w:rFonts w:cs="Arial"/>
          <w:bCs/>
          <w:color w:val="000000" w:themeColor="text1"/>
          <w:szCs w:val="16"/>
        </w:rPr>
        <w:br/>
      </w:r>
      <w:r w:rsidRPr="00437F97">
        <w:rPr>
          <w:rFonts w:cs="Arial"/>
          <w:bCs/>
          <w:color w:val="000000" w:themeColor="text1"/>
          <w:szCs w:val="16"/>
        </w:rPr>
        <w:br/>
        <w:t>However, Nevada did not have a mechanism for collecting this information for all children and families with active IFSPs in the old data system. This means we were unable to describe the whole actual population receiving services and as such we were unable to describe actual representativeness. The new data system does allow for collection of these data points.</w:t>
      </w:r>
      <w:r w:rsidRPr="00437F97">
        <w:rPr>
          <w:rFonts w:cs="Arial"/>
          <w:bCs/>
          <w:color w:val="000000" w:themeColor="text1"/>
          <w:szCs w:val="16"/>
        </w:rPr>
        <w:br/>
      </w:r>
      <w:r w:rsidRPr="00437F97">
        <w:rPr>
          <w:rFonts w:cs="Arial"/>
          <w:bCs/>
          <w:color w:val="000000" w:themeColor="text1"/>
          <w:szCs w:val="16"/>
        </w:rPr>
        <w:br/>
        <w:t>Household income was added to the survey as our assumption was that we would use income directly for reporting. However, the representativeness of children and families in poverty receiving services could not be ascertained because poverty calculations incorporate both income and household size, neither of which were collected in the old data system. Household size and annual income are now available for collection in NEIDS as optional fields. Household size will be added to the Family Survey 2024 to allow greater description of poverty level representativeness of respondents.</w:t>
      </w:r>
      <w:r w:rsidRPr="00437F97">
        <w:rPr>
          <w:rFonts w:cs="Arial"/>
          <w:bCs/>
          <w:color w:val="000000" w:themeColor="text1"/>
          <w:szCs w:val="16"/>
        </w:rPr>
        <w:br/>
      </w:r>
      <w:r w:rsidRPr="00437F97">
        <w:rPr>
          <w:rFonts w:cs="Arial"/>
          <w:bCs/>
          <w:color w:val="000000" w:themeColor="text1"/>
          <w:szCs w:val="16"/>
        </w:rPr>
        <w:br/>
        <w:t xml:space="preserve">Nevada faced a similar issue when looking to share the descriptive data about parent/guardian level of education. Data were not available in the previous data system for the </w:t>
      </w:r>
      <w:proofErr w:type="gramStart"/>
      <w:r w:rsidRPr="00437F97">
        <w:rPr>
          <w:rFonts w:cs="Arial"/>
          <w:bCs/>
          <w:color w:val="000000" w:themeColor="text1"/>
          <w:szCs w:val="16"/>
        </w:rPr>
        <w:t>population as a whole</w:t>
      </w:r>
      <w:proofErr w:type="gramEnd"/>
      <w:r w:rsidRPr="00437F97">
        <w:rPr>
          <w:rFonts w:cs="Arial"/>
          <w:bCs/>
          <w:color w:val="000000" w:themeColor="text1"/>
          <w:szCs w:val="16"/>
        </w:rPr>
        <w:t>. Nevada only received the data as reported by families on their surveys so representativeness could not be calculated. The new system of record NEIDS does all for collection of these data.</w:t>
      </w:r>
      <w:r w:rsidRPr="00437F97">
        <w:rPr>
          <w:rFonts w:cs="Arial"/>
          <w:bCs/>
          <w:color w:val="000000" w:themeColor="text1"/>
          <w:szCs w:val="16"/>
        </w:rPr>
        <w:br/>
      </w:r>
      <w:r w:rsidRPr="00437F97">
        <w:rPr>
          <w:rFonts w:cs="Arial"/>
          <w:bCs/>
          <w:color w:val="000000" w:themeColor="text1"/>
          <w:szCs w:val="16"/>
        </w:rPr>
        <w:br/>
        <w:t>Geographic location was collected through the Family Survey 2023. These data were compared to zip code data and related geographic location. The analysis was somewhat anecdotal, as zip codes in major urban areas (Las Vegas and Reno) border rural regions around the cities. All of Reno and Las Vegas were inputted as urban areas and suburban areas. There was no clear definition of a suburban area when researched, also no definition was given to respondents. This means that families were self-reporting on their perception of the geographic location rather than a clearly defined delineation. These regional definitions will be included in the Family Survey 2024.</w:t>
      </w:r>
      <w:r w:rsidRPr="00437F97">
        <w:rPr>
          <w:rFonts w:cs="Arial"/>
          <w:bCs/>
          <w:color w:val="000000" w:themeColor="text1"/>
          <w:szCs w:val="16"/>
        </w:rPr>
        <w:br/>
      </w:r>
      <w:r w:rsidRPr="00437F97">
        <w:rPr>
          <w:rFonts w:cs="Arial"/>
          <w:bCs/>
          <w:color w:val="000000" w:themeColor="text1"/>
          <w:szCs w:val="16"/>
        </w:rPr>
        <w:br/>
        <w:t>These three questions will remain on the Family Survey 2024 as we expect data to be collected from the new system of record, NEIDS, from early 2024 onward. Through Survey Monkey families are required to answer questions about race/ethnicity and the current program from which they are receiving services. All questions on the electronic Family Survey 2024 will be required. However, for families responding to the survey on hard copy questions can be left blank, leaving collection gaps.</w:t>
      </w:r>
      <w:r w:rsidRPr="00437F97">
        <w:rPr>
          <w:rFonts w:cs="Arial"/>
          <w:bCs/>
          <w:color w:val="000000" w:themeColor="text1"/>
          <w:szCs w:val="16"/>
        </w:rPr>
        <w:br/>
      </w:r>
      <w:r w:rsidRPr="00437F97">
        <w:rPr>
          <w:rFonts w:cs="Arial"/>
          <w:bCs/>
          <w:color w:val="000000" w:themeColor="text1"/>
          <w:szCs w:val="16"/>
        </w:rPr>
        <w:br/>
      </w:r>
      <w:r w:rsidRPr="00437F97">
        <w:rPr>
          <w:rFonts w:cs="Arial"/>
          <w:bCs/>
          <w:color w:val="000000" w:themeColor="text1"/>
          <w:szCs w:val="16"/>
        </w:rPr>
        <w:lastRenderedPageBreak/>
        <w:t>Finally, Time in Service (in months) will be added to the Family Survey 2024 for families to self-report. The NEIDS automatically calculates these data and Nevada will have the ability to show representativeness of respondents in service months.</w:t>
      </w:r>
    </w:p>
    <w:p w14:paraId="4CD0DA7B" w14:textId="3B7BFD0F"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w:t>
      </w:r>
      <w:r w:rsidR="00F5591B">
        <w:rPr>
          <w:color w:val="000000" w:themeColor="text1"/>
        </w:rPr>
        <w:t xml:space="preserve"> </w:t>
      </w:r>
      <w:r>
        <w:rPr>
          <w:color w:val="000000" w:themeColor="text1"/>
        </w:rPr>
        <w:t>(</w:t>
      </w:r>
      <w:r w:rsidR="00437F97" w:rsidRPr="000762B0">
        <w:rPr>
          <w:bCs/>
        </w:rPr>
        <w:t>yes/no)</w:t>
      </w:r>
    </w:p>
    <w:p w14:paraId="1F122EF3" w14:textId="2DF9A7BB" w:rsidR="00F5591B" w:rsidRDefault="00846C1E" w:rsidP="00437F97">
      <w:pPr>
        <w:pStyle w:val="Subhed"/>
        <w:rPr>
          <w:b w:val="0"/>
          <w:bCs/>
          <w:color w:val="000000" w:themeColor="text1"/>
        </w:rPr>
      </w:pPr>
      <w:r w:rsidRPr="00ED172B">
        <w:rPr>
          <w:color w:val="000000" w:themeColor="text1"/>
        </w:rPr>
        <w:t>NO</w:t>
      </w:r>
      <w:r w:rsidRPr="000A2B9F" w:rsidDel="00846C1E">
        <w:rPr>
          <w:bCs/>
          <w:color w:val="000000" w:themeColor="text1"/>
        </w:rPr>
        <w:t xml:space="preserve"> </w:t>
      </w:r>
    </w:p>
    <w:p w14:paraId="3C660309" w14:textId="174702B7" w:rsidR="00013004" w:rsidRPr="00ED172B" w:rsidRDefault="00B24CA0" w:rsidP="00013004">
      <w:pPr>
        <w:rPr>
          <w:rFonts w:cs="Arial"/>
          <w:b/>
          <w:color w:val="000000" w:themeColor="text1"/>
          <w:szCs w:val="16"/>
        </w:rPr>
      </w:pPr>
      <w:r w:rsidRPr="00ED172B">
        <w:rPr>
          <w:rFonts w:cs="Arial"/>
          <w:b/>
          <w:color w:val="000000" w:themeColor="text1"/>
          <w:szCs w:val="16"/>
        </w:rPr>
        <w:t xml:space="preserve">If no, describe the strategies that the State will use to ensure that in the future the response data are representative of those demographics. </w:t>
      </w:r>
    </w:p>
    <w:p w14:paraId="547D835A" w14:textId="77777777" w:rsidR="00F5591B" w:rsidRDefault="00F5591B" w:rsidP="00F5591B">
      <w:pPr>
        <w:rPr>
          <w:rFonts w:cs="Arial"/>
          <w:color w:val="000000" w:themeColor="text1"/>
          <w:szCs w:val="16"/>
        </w:rPr>
      </w:pPr>
      <w:r w:rsidRPr="00ED172B">
        <w:rPr>
          <w:rFonts w:cs="Arial"/>
          <w:color w:val="000000" w:themeColor="text1"/>
          <w:szCs w:val="16"/>
        </w:rPr>
        <w:t>Steps that our IDEA Part C Office plans to take to increase representativeness and to reduce non-response bias include:</w:t>
      </w:r>
      <w:r w:rsidRPr="00ED172B">
        <w:rPr>
          <w:rFonts w:cs="Arial"/>
          <w:color w:val="000000" w:themeColor="text1"/>
          <w:szCs w:val="16"/>
        </w:rPr>
        <w:br/>
        <w:t>Sharing expectations: Reviewing and revising our communication to ensure we are setting appropriate expectations with our participants, i.e., explaining in an email beforehand and in the message of the survey more clearly about our goals, how long the survey will take to complete, and if any questions are sensitive in nature. We must also word our communication in a way that reassures our participants that the survey will be anonymous and that there will be no repercussions for responses. We will work with our IT department to learn whether we can close the loop to provide a customized response at the end of the survey. We are learning that when respondents feel heard, they are more likely to complete surveys in the future.</w:t>
      </w:r>
      <w:r w:rsidRPr="00ED172B">
        <w:rPr>
          <w:rFonts w:cs="Arial"/>
          <w:color w:val="000000" w:themeColor="text1"/>
          <w:szCs w:val="16"/>
        </w:rPr>
        <w:br/>
      </w:r>
      <w:r w:rsidRPr="00ED172B">
        <w:rPr>
          <w:rFonts w:cs="Arial"/>
          <w:color w:val="000000" w:themeColor="text1"/>
          <w:szCs w:val="16"/>
        </w:rPr>
        <w:br/>
        <w:t>Accessibility and communication barriers: We have considered that access to our survey for some families can be impacted by internet access. Our IDEA Part C Office will continue to provide surveys via postal mail and online link. We have made steps to include translations of the survey in additional languages during 2024 (which will be reported on during 2025). The languages which our family survey and cover letter are now available includes: English, Spanish, Amharic, Hebrew, Tagalog, Vietnamese, Arabic, Pashto Urdu, Tigrinya, Swahili, Brazilian Portuguese, Russian, Traditional Chinese, Simplified Chinese, Farsi, Ukrainian and Haitian Creole.</w:t>
      </w:r>
      <w:r w:rsidRPr="00ED172B">
        <w:rPr>
          <w:rFonts w:cs="Arial"/>
          <w:color w:val="000000" w:themeColor="text1"/>
          <w:szCs w:val="16"/>
        </w:rPr>
        <w:br/>
      </w:r>
      <w:r w:rsidRPr="00ED172B">
        <w:rPr>
          <w:rFonts w:cs="Arial"/>
          <w:color w:val="000000" w:themeColor="text1"/>
          <w:szCs w:val="16"/>
        </w:rPr>
        <w:br/>
        <w:t xml:space="preserve">Respondent communication and lifestyles: We understand that research shows that personal characteristics and lifestyles impact the rate of response for our surveys, e.g., people with busy lives and people with less education may respond to surveys less. We are working to hire additional staff by July 2024 to help with the administrative processes of gathering feedback and suggestions from families, ICC, such as pairing our survey with outreach items that promote streamlined communication and participation for busy individuals. For example, we would like to return to developing our annual calendar for families, which had stopped during the COVID-19 pandemic when some of our staff retired. We propose that developing and including a planner/calendar with our survey can help individuals to plan their busy schedules as well as to gain information and education on child development and community resources. </w:t>
      </w:r>
    </w:p>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Strategies that will be implemented to increase the response rate year over year for those groups that are underrepresented include casting a wider net for engagement with our families though:</w:t>
      </w:r>
      <w:r w:rsidRPr="00ED172B">
        <w:rPr>
          <w:rFonts w:cs="Arial"/>
          <w:color w:val="000000" w:themeColor="text1"/>
          <w:szCs w:val="16"/>
        </w:rPr>
        <w:br/>
      </w:r>
      <w:r w:rsidRPr="00ED172B">
        <w:rPr>
          <w:rFonts w:cs="Arial"/>
          <w:color w:val="000000" w:themeColor="text1"/>
          <w:szCs w:val="16"/>
        </w:rPr>
        <w:br/>
        <w:t>Correction of Invalid Addresses: African American or Black invalid address data were not representative of the population; it cannot be said that the number of invalid addresses for this population of infants or toddlers for whom families were sent surveys are representative of the infants and toddlers enrolled in the Part C program. This number is especially high for African American or Black children and their families. This skew has been identified and Nevada is working to bring this percentage down to expected ranges, or zero. With new data system protocols and processes there is an expected reduction in invalid addresses overall. We anticipate a significant reduction in invalid addresses in the African American or Black population served as Nevada works to improve response rate for this population. To increase sense of community and to boost relations with Part C and the families receiving services Nevada will begin sending small child find materials and incentives directly to families. Additionally, this will help reduce the number of invalid addresses as the Part C Office will process returned mail and have the assigned service coordinators correct the addresses quarterly for those returned mailings.</w:t>
      </w:r>
      <w:r w:rsidRPr="00ED172B">
        <w:rPr>
          <w:rFonts w:cs="Arial"/>
          <w:color w:val="000000" w:themeColor="text1"/>
          <w:szCs w:val="16"/>
        </w:rPr>
        <w:br/>
      </w:r>
      <w:r w:rsidRPr="00ED172B">
        <w:rPr>
          <w:rFonts w:cs="Arial"/>
          <w:color w:val="000000" w:themeColor="text1"/>
          <w:szCs w:val="16"/>
        </w:rPr>
        <w:br/>
        <w:t xml:space="preserve">Incentives with the survey: Nevada IDEA Part C Office brainstormed incentives. We will begin sending Nevada EI stickers and temporary tattoos out with the surveys. </w:t>
      </w:r>
      <w:r w:rsidRPr="00ED172B">
        <w:rPr>
          <w:rFonts w:cs="Arial"/>
          <w:color w:val="000000" w:themeColor="text1"/>
          <w:szCs w:val="16"/>
        </w:rPr>
        <w:br/>
      </w:r>
      <w:r w:rsidRPr="00ED172B">
        <w:rPr>
          <w:rFonts w:cs="Arial"/>
          <w:color w:val="000000" w:themeColor="text1"/>
          <w:szCs w:val="16"/>
        </w:rPr>
        <w:br/>
        <w:t>Translation activities: Translating the family survey into languages other than English and Spanish, inclusive of all languages survey eligible families reported to their Service Coordinator in NEIDS (i.e., Chinese, Burmese, Russian, Urdu, Vietnamese, etc.). The IDEA Part C Office is in regular contact with local EI programs for languages needing translated documents;</w:t>
      </w:r>
      <w:r w:rsidRPr="00ED172B">
        <w:rPr>
          <w:rFonts w:cs="Arial"/>
          <w:color w:val="000000" w:themeColor="text1"/>
          <w:szCs w:val="16"/>
        </w:rPr>
        <w:br/>
      </w:r>
      <w:r w:rsidRPr="00ED172B">
        <w:rPr>
          <w:rFonts w:cs="Arial"/>
          <w:color w:val="000000" w:themeColor="text1"/>
          <w:szCs w:val="16"/>
        </w:rPr>
        <w:br/>
        <w:t xml:space="preserve">Formats: Continuing multiple family survey formats with paper surveys mailed to families via postal mail and digital means through an email listserv and Survey Monkey link, with inclusion of the </w:t>
      </w:r>
      <w:proofErr w:type="gramStart"/>
      <w:r w:rsidRPr="00ED172B">
        <w:rPr>
          <w:rFonts w:cs="Arial"/>
          <w:color w:val="000000" w:themeColor="text1"/>
          <w:szCs w:val="16"/>
        </w:rPr>
        <w:t>aforementioned translations</w:t>
      </w:r>
      <w:proofErr w:type="gramEnd"/>
      <w:r w:rsidRPr="00ED172B">
        <w:rPr>
          <w:rFonts w:cs="Arial"/>
          <w:color w:val="000000" w:themeColor="text1"/>
          <w:szCs w:val="16"/>
        </w:rPr>
        <w:t xml:space="preserve">. Nevada added a QR code for easy online access and included it on the Family Survey letter which also includes the goal and purpose of the survey. Additionally, the IDEA Part C Office is exploring an online Parent Portal to add to the new statewide system of record, NEIDS (Nevada Early Intervention Data System) which launched in Fall 2023; </w:t>
      </w:r>
      <w:r w:rsidRPr="00ED172B">
        <w:rPr>
          <w:rFonts w:cs="Arial"/>
          <w:color w:val="000000" w:themeColor="text1"/>
          <w:szCs w:val="16"/>
        </w:rPr>
        <w:br/>
      </w:r>
      <w:r w:rsidRPr="00ED172B">
        <w:rPr>
          <w:rFonts w:cs="Arial"/>
          <w:color w:val="000000" w:themeColor="text1"/>
          <w:szCs w:val="16"/>
        </w:rPr>
        <w:br/>
        <w:t xml:space="preserve">Partnering with Technical Assistance (TA) centers to learn from other IDEA Part C states and TA advisors regarding additional effective strategies which the Nevada IDEA Part C Office may consider utilizing. Nevada will inquire regarding effective strategies during upcoming meetings and conferences; Nevada IDEA Part C meets monthly with advisors from OSEP, DaSy (The Center for IDEA Early Childhood Data Systems), ECTA (Early Childhood Technical Assistance) Center and other IDEA Part C Coordinators from ITCA (Infant and Toddler Coordinators Association); </w:t>
      </w:r>
      <w:r w:rsidRPr="00ED172B">
        <w:rPr>
          <w:rFonts w:cs="Arial"/>
          <w:color w:val="000000" w:themeColor="text1"/>
          <w:szCs w:val="16"/>
        </w:rPr>
        <w:br/>
      </w:r>
      <w:r w:rsidRPr="00ED172B">
        <w:rPr>
          <w:rFonts w:cs="Arial"/>
          <w:color w:val="000000" w:themeColor="text1"/>
          <w:szCs w:val="16"/>
        </w:rPr>
        <w:br/>
        <w:t xml:space="preserve">Partnering with stakeholders within Nevada, such as Nevada’s Interagency Coordinating Council (ICC), Nevada’s Interagency Coordinating Council (ICC) Equity Subcommittee and local Early Intervention programs to request feedback and brainstorming on how to increase response rates and representativeness throughout Nevada;. </w:t>
      </w:r>
      <w:r w:rsidRPr="00ED172B">
        <w:rPr>
          <w:rFonts w:cs="Arial"/>
          <w:color w:val="000000" w:themeColor="text1"/>
          <w:szCs w:val="16"/>
        </w:rPr>
        <w:br/>
      </w:r>
      <w:r w:rsidRPr="00ED172B">
        <w:rPr>
          <w:rFonts w:cs="Arial"/>
          <w:color w:val="000000" w:themeColor="text1"/>
          <w:szCs w:val="16"/>
        </w:rPr>
        <w:br/>
        <w:t xml:space="preserve">Providing support for capstone work being planned by professional learners attending the Developmental Specialist (DS) Series with Nevada’s EI Professional Development Center. The DS Series capstone is a unique project which brings value to the EI system and which Learners must complete </w:t>
      </w:r>
      <w:proofErr w:type="gramStart"/>
      <w:r w:rsidRPr="00ED172B">
        <w:rPr>
          <w:rFonts w:cs="Arial"/>
          <w:color w:val="000000" w:themeColor="text1"/>
          <w:szCs w:val="16"/>
        </w:rPr>
        <w:t>in order to</w:t>
      </w:r>
      <w:proofErr w:type="gramEnd"/>
      <w:r w:rsidRPr="00ED172B">
        <w:rPr>
          <w:rFonts w:cs="Arial"/>
          <w:color w:val="000000" w:themeColor="text1"/>
          <w:szCs w:val="16"/>
        </w:rPr>
        <w:t xml:space="preserve"> obtain their certification for our Grow Your Own, no cost option of an Alternative Certification for the DS position. Instructors will promote capstone project options that may focus on increasing response rates and representativeness for underrepresented populations.</w:t>
      </w:r>
      <w:r w:rsidRPr="00ED172B">
        <w:rPr>
          <w:rFonts w:cs="Arial"/>
          <w:color w:val="000000" w:themeColor="text1"/>
          <w:szCs w:val="16"/>
        </w:rPr>
        <w:br/>
      </w:r>
      <w:r w:rsidRPr="00ED172B">
        <w:rPr>
          <w:rFonts w:cs="Arial"/>
          <w:color w:val="000000" w:themeColor="text1"/>
          <w:szCs w:val="16"/>
        </w:rPr>
        <w:br/>
        <w:t>Reminders: IDEA Part C Office will send announcements and reminders to families and staff ahead of the survey season. These will be sent electronically and as postcards to all families of children eligible to receive the annual survey. Aside from reminding families and staff, the announcements and reminders will test the validity of email and mailing addresses of families in the Nevada Early Intervention Data System (NEIDS).</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 xml:space="preserve">Using the representativeness calculator from Early Childhood Technical Assistance (ECTA) Center, our data were used to compare the percentages of the statewide survey distribution and response for each race/ethnicity as well as the rate of return for each category. To ensure the data is </w:t>
      </w:r>
      <w:r w:rsidRPr="00ED172B">
        <w:rPr>
          <w:rFonts w:cs="Arial"/>
          <w:color w:val="000000" w:themeColor="text1"/>
          <w:szCs w:val="16"/>
        </w:rPr>
        <w:lastRenderedPageBreak/>
        <w:t>representative of the demographics of the State, the IDEA Part C Office used the Tracking Resources and Children (TRAC) database to obtain the names and addresses of all families in the early intervention system who had a child with an active IFSP for a minimum of six months and was receiving early intervention services from one of the state or community early intervention programs as of February 2023. A total of 2,030 children met this criterion and these families were sent a survey for each child in the home enrolled in early intervention services. Nevada sends the survey to all eligible families every year to promote responses from a broad cross section of families that are receiving early intervention services.</w:t>
      </w:r>
      <w:r w:rsidRPr="00ED172B">
        <w:rPr>
          <w:rFonts w:cs="Arial"/>
          <w:color w:val="000000" w:themeColor="text1"/>
          <w:szCs w:val="16"/>
        </w:rPr>
        <w:br/>
      </w:r>
      <w:r w:rsidRPr="00ED172B">
        <w:rPr>
          <w:rFonts w:cs="Arial"/>
          <w:color w:val="000000" w:themeColor="text1"/>
          <w:szCs w:val="16"/>
        </w:rPr>
        <w:br/>
        <w:t xml:space="preserve">Overall response rate was analyzed, however two categories of race (African American or Black, and American Indian or Alaska Native) responded at a rate of 3% or less. </w:t>
      </w:r>
      <w:r w:rsidRPr="00ED172B">
        <w:rPr>
          <w:rFonts w:cs="Arial"/>
          <w:color w:val="000000" w:themeColor="text1"/>
          <w:szCs w:val="16"/>
        </w:rPr>
        <w:br/>
        <w:t>African American or Black (# surveys sent = 197, # surveys returned = 6, response rate = 3%)</w:t>
      </w:r>
      <w:r w:rsidRPr="00ED172B">
        <w:rPr>
          <w:rFonts w:cs="Arial"/>
          <w:color w:val="000000" w:themeColor="text1"/>
          <w:szCs w:val="16"/>
        </w:rPr>
        <w:br/>
        <w:t>American Indian or Alaska Native (# surveys sent = 8, # surveys returned = 0, response rate = 0%)</w:t>
      </w:r>
      <w:r w:rsidRPr="00ED172B">
        <w:rPr>
          <w:rFonts w:cs="Arial"/>
          <w:color w:val="000000" w:themeColor="text1"/>
          <w:szCs w:val="16"/>
        </w:rPr>
        <w:br/>
        <w:t>Asian (# surveys sent = 93, # surveys returned = 9, response rate = 9.7%)</w:t>
      </w:r>
      <w:r w:rsidRPr="00ED172B">
        <w:rPr>
          <w:rFonts w:cs="Arial"/>
          <w:color w:val="000000" w:themeColor="text1"/>
          <w:szCs w:val="16"/>
        </w:rPr>
        <w:br/>
        <w:t>Native Hawaiian or Pacific Islander (# surveys sent = 14, # surveys returned = 1, response rate = 7.1%)</w:t>
      </w:r>
      <w:r w:rsidRPr="00ED172B">
        <w:rPr>
          <w:rFonts w:cs="Arial"/>
          <w:color w:val="000000" w:themeColor="text1"/>
          <w:szCs w:val="16"/>
        </w:rPr>
        <w:br/>
        <w:t>White (# surveys sent = 721, # surveys returned = 66, response rate = 9.2%)</w:t>
      </w:r>
      <w:r w:rsidRPr="00ED172B">
        <w:rPr>
          <w:rFonts w:cs="Arial"/>
          <w:color w:val="000000" w:themeColor="text1"/>
          <w:szCs w:val="16"/>
        </w:rPr>
        <w:br/>
        <w:t>More than one race (# surveys sent = 177, # surveys returned = 20, response rate = 11.3%)</w:t>
      </w:r>
      <w:r w:rsidRPr="00ED172B">
        <w:rPr>
          <w:rFonts w:cs="Arial"/>
          <w:color w:val="000000" w:themeColor="text1"/>
          <w:szCs w:val="16"/>
        </w:rPr>
        <w:br/>
        <w:t>Five (5) families did not indicate race/ethnicity on their hard copy returned surveys. The unidentified surveys are not included in this data set.</w:t>
      </w:r>
      <w:r w:rsidRPr="00ED172B">
        <w:rPr>
          <w:rFonts w:cs="Arial"/>
          <w:color w:val="000000" w:themeColor="text1"/>
          <w:szCs w:val="16"/>
        </w:rPr>
        <w:br/>
        <w:t>Overall response rate by Race is 8.4%</w:t>
      </w:r>
      <w:r w:rsidRPr="00ED172B">
        <w:rPr>
          <w:rFonts w:cs="Arial"/>
          <w:color w:val="000000" w:themeColor="text1"/>
          <w:szCs w:val="16"/>
        </w:rPr>
        <w:br/>
      </w:r>
      <w:r w:rsidRPr="00ED172B">
        <w:rPr>
          <w:rFonts w:cs="Arial"/>
          <w:color w:val="000000" w:themeColor="text1"/>
          <w:szCs w:val="16"/>
        </w:rPr>
        <w:br/>
        <w:t>Response rate by Hispanic Origin</w:t>
      </w:r>
      <w:r w:rsidRPr="00ED172B">
        <w:rPr>
          <w:rFonts w:cs="Arial"/>
          <w:color w:val="000000" w:themeColor="text1"/>
          <w:szCs w:val="16"/>
        </w:rPr>
        <w:br/>
        <w:t>Hispanic (# surveys sent = 737, # surveys returned = 34, response rate = 4.6%)</w:t>
      </w:r>
      <w:r w:rsidRPr="00ED172B">
        <w:rPr>
          <w:rFonts w:cs="Arial"/>
          <w:color w:val="000000" w:themeColor="text1"/>
          <w:szCs w:val="16"/>
        </w:rPr>
        <w:br/>
        <w:t>Non-Hispanic (# surveys sent = 1210, # surveys returned = 102, response rate = 8.4%)</w:t>
      </w:r>
      <w:r w:rsidRPr="00ED172B">
        <w:rPr>
          <w:rFonts w:cs="Arial"/>
          <w:color w:val="000000" w:themeColor="text1"/>
          <w:szCs w:val="16"/>
        </w:rPr>
        <w:br/>
        <w:t>Five (5) families did not indicate Hispanic origin on their hard copy returned surveys. The unidentified surveys are not included in this data set.</w:t>
      </w:r>
      <w:r w:rsidRPr="00ED172B">
        <w:rPr>
          <w:rFonts w:cs="Arial"/>
          <w:color w:val="000000" w:themeColor="text1"/>
          <w:szCs w:val="16"/>
        </w:rPr>
        <w:br/>
        <w:t>Overall response rate is 7.24%</w:t>
      </w:r>
      <w:r w:rsidRPr="00ED172B">
        <w:rPr>
          <w:rFonts w:cs="Arial"/>
          <w:color w:val="000000" w:themeColor="text1"/>
          <w:szCs w:val="16"/>
        </w:rPr>
        <w:br/>
      </w:r>
      <w:r w:rsidRPr="00ED172B">
        <w:rPr>
          <w:rFonts w:cs="Arial"/>
          <w:color w:val="000000" w:themeColor="text1"/>
          <w:szCs w:val="16"/>
        </w:rPr>
        <w:br/>
        <w:t xml:space="preserve">The final total for distribution of the Family Survey 2023 was 1,947. The final total survey responses were 141.This is a return rate of 7.24% which is a decrease of 12.78% from last year (20.02%). </w:t>
      </w:r>
      <w:r w:rsidRPr="00ED172B">
        <w:rPr>
          <w:rFonts w:cs="Arial"/>
          <w:color w:val="000000" w:themeColor="text1"/>
          <w:szCs w:val="16"/>
        </w:rPr>
        <w:br/>
      </w:r>
      <w:r w:rsidRPr="00ED172B">
        <w:rPr>
          <w:rFonts w:cs="Arial"/>
          <w:color w:val="000000" w:themeColor="text1"/>
          <w:szCs w:val="16"/>
        </w:rPr>
        <w:br/>
        <w:t>A total of 2,030 children and families were sent the Family Survey 2023 for each child in the home eligible to receive the survey. Eighty-three (83) surveys were returned with invalid addresses (4.1%), which is a larger number than the forty-six (46) returned last year (2.5%). Family Survey 2022 returns were fifty-six (56), but ten (10) addresses were corrected and resent, without a second return. Due to office flooding for the second time in six (6) months Nevada was unable to correct and resend any invalid address returns during Family Survey 2023. A total of 1,947 surveys were included as the final number of surveys received by families. The 83 invalid address surveys were not included in the final count because these households never received a survey.</w:t>
      </w:r>
      <w:r w:rsidRPr="00ED172B">
        <w:rPr>
          <w:rFonts w:cs="Arial"/>
          <w:color w:val="000000" w:themeColor="text1"/>
          <w:szCs w:val="16"/>
        </w:rPr>
        <w:br/>
      </w:r>
      <w:r w:rsidRPr="00ED172B">
        <w:rPr>
          <w:rFonts w:cs="Arial"/>
          <w:color w:val="000000" w:themeColor="text1"/>
          <w:szCs w:val="16"/>
        </w:rPr>
        <w:br/>
        <w:t>To analyze the impact of invalid addresses returned for Family Survey 2023 Nevada used the representativeness calculator to show total surveys sent (2030) versus those invalid address returns for race, Hispanic Origin, and a comparison of invalid returns for the previous year survey.</w:t>
      </w:r>
      <w:r w:rsidRPr="00ED172B">
        <w:rPr>
          <w:rFonts w:cs="Arial"/>
          <w:color w:val="000000" w:themeColor="text1"/>
          <w:szCs w:val="16"/>
        </w:rPr>
        <w:br/>
      </w:r>
      <w:r w:rsidRPr="00ED172B">
        <w:rPr>
          <w:rFonts w:cs="Arial"/>
          <w:color w:val="000000" w:themeColor="text1"/>
          <w:szCs w:val="16"/>
        </w:rPr>
        <w:br/>
        <w:t>Representativeness calculator for invalid addresses:</w:t>
      </w:r>
      <w:r w:rsidRPr="00ED172B">
        <w:rPr>
          <w:rFonts w:cs="Arial"/>
          <w:color w:val="000000" w:themeColor="text1"/>
          <w:szCs w:val="16"/>
        </w:rPr>
        <w:br/>
        <w:t>African American or Black invalid address data were not representative of the population (# families in target = 216, # returned as non-deliverable = 19, target representation = 17%, actual representation = 37%, difference between target and actual = 19%) Therefore it cannot be said that the number of invalid addresses for the infants or toddlers for whom families were sent surveys are representative of the infants and toddlers enrolled in the Part C program. This number is especially high for African American or Black children and their families. This skew has been identified and Nevada is working to bring this percentage down to expected ranges, or zero.</w:t>
      </w:r>
      <w:r w:rsidRPr="00ED172B">
        <w:rPr>
          <w:rFonts w:cs="Arial"/>
          <w:color w:val="000000" w:themeColor="text1"/>
          <w:szCs w:val="16"/>
        </w:rPr>
        <w:br/>
        <w:t>American Indian or Alaska Native invalid address data were not representative of the population (# families in target = 8, # returned as non-deliverable= 0, target representation 1%, actual representation = 0%, difference between target and actual = -1%)</w:t>
      </w:r>
      <w:r w:rsidRPr="00ED172B">
        <w:rPr>
          <w:rFonts w:cs="Arial"/>
          <w:color w:val="000000" w:themeColor="text1"/>
          <w:szCs w:val="16"/>
        </w:rPr>
        <w:br/>
        <w:t>Asian invalid address data were representative of the population (# families in target = 93, # returned as non-deliverable = 0, target representation = 7%, actual representation = 0%, difference between target and actual = -7%)</w:t>
      </w:r>
      <w:r w:rsidRPr="00ED172B">
        <w:rPr>
          <w:rFonts w:cs="Arial"/>
          <w:color w:val="000000" w:themeColor="text1"/>
          <w:szCs w:val="16"/>
        </w:rPr>
        <w:br/>
        <w:t>Native Hawaiian or Pacific Islander invalid address data were representative of the population (# families in target = 16, # returned as non-deliverable = 2, target representation = 1%, actual representation = 4%, difference between target and actual = 3%)</w:t>
      </w:r>
      <w:r w:rsidRPr="00ED172B">
        <w:rPr>
          <w:rFonts w:cs="Arial"/>
          <w:color w:val="000000" w:themeColor="text1"/>
          <w:szCs w:val="16"/>
        </w:rPr>
        <w:br/>
        <w:t>White invalid address data were representative of the population (# families in target = 746, # returned as non-deliverable = 25, target representation = 59%, actual representation = 48%, difference between target and actual = -11%)</w:t>
      </w:r>
      <w:r w:rsidRPr="00ED172B">
        <w:rPr>
          <w:rFonts w:cs="Arial"/>
          <w:color w:val="000000" w:themeColor="text1"/>
          <w:szCs w:val="16"/>
        </w:rPr>
        <w:br/>
        <w:t>Two or More Races invalid address data were representative of the population (# families in target = 183, # returned as non-deliverable = 6, target representation = 15%, actual representation = 12%, difference between target and actual = -3%)</w:t>
      </w:r>
      <w:r w:rsidRPr="00ED172B">
        <w:rPr>
          <w:rFonts w:cs="Arial"/>
          <w:color w:val="000000" w:themeColor="text1"/>
          <w:szCs w:val="16"/>
        </w:rPr>
        <w:br/>
        <w:t>Five families did not indicate race/ethnicity on their hard copy returned surveys. The unidentified surveys are not included in this data set.</w:t>
      </w:r>
      <w:r w:rsidRPr="00ED172B">
        <w:rPr>
          <w:rFonts w:cs="Arial"/>
          <w:color w:val="000000" w:themeColor="text1"/>
          <w:szCs w:val="16"/>
        </w:rPr>
        <w:br/>
      </w:r>
      <w:r w:rsidRPr="00ED172B">
        <w:rPr>
          <w:rFonts w:cs="Arial"/>
          <w:color w:val="000000" w:themeColor="text1"/>
          <w:szCs w:val="16"/>
        </w:rPr>
        <w:br/>
        <w:t>Invalid addresses were representative of the population when considering Hispanic Origin.</w:t>
      </w:r>
      <w:r w:rsidRPr="00ED172B">
        <w:rPr>
          <w:rFonts w:cs="Arial"/>
          <w:color w:val="000000" w:themeColor="text1"/>
          <w:szCs w:val="16"/>
        </w:rPr>
        <w:br/>
        <w:t>Hispanic Origin invalid address data were representative (# families in target = 768, # returned as non-deliverable = 31, target representation = 38%, actual representation = 37%, difference between target and actual = -0.48%)</w:t>
      </w:r>
      <w:r w:rsidRPr="00ED172B">
        <w:rPr>
          <w:rFonts w:cs="Arial"/>
          <w:color w:val="000000" w:themeColor="text1"/>
          <w:szCs w:val="16"/>
        </w:rPr>
        <w:br/>
        <w:t>Non-Hispanic Origin invalid address data were representative (# families in target = 1262, # returned as non-deliverable = 52, target representation = 62%, actual representation = 63%, difference between target and actual = 0.48% )</w:t>
      </w:r>
      <w:r w:rsidRPr="00ED172B">
        <w:rPr>
          <w:rFonts w:cs="Arial"/>
          <w:color w:val="000000" w:themeColor="text1"/>
          <w:szCs w:val="16"/>
        </w:rPr>
        <w:br/>
        <w:t>Five families did not indicate Hispanic origin on their hard copy returned surveys. The unidentified surveys are not included in this data set.</w:t>
      </w:r>
    </w:p>
    <w:bookmarkEnd w:id="24"/>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860830" w:rsidP="003A3693">
      <w:pPr>
        <w:rPr>
          <w:rFonts w:cs="Arial"/>
          <w:color w:val="000000" w:themeColor="text1"/>
          <w:szCs w:val="16"/>
        </w:rPr>
      </w:pPr>
      <w:r w:rsidRPr="00ED172B">
        <w:rPr>
          <w:rFonts w:cs="Arial"/>
          <w:color w:val="000000" w:themeColor="text1"/>
          <w:szCs w:val="16"/>
        </w:rPr>
        <w:t>A cover letter accompanied each survey, as well as a postage-paid return envelope. The cover letter informed families their survey would be returned to the IDEA Part C Office and all responses would remain confidential. Families were provided the option to complete their survey on-line through SurveyMonkey. Although this year a link was not provided through email for the electronic survey the URL was included on the cover letter for families to type in to their computer browser.</w:t>
      </w:r>
    </w:p>
    <w:p w14:paraId="1A02BAFD" w14:textId="4A2D5F8A" w:rsidR="00DC0682" w:rsidRPr="00A40EE1" w:rsidRDefault="000D0117" w:rsidP="005C3FFD">
      <w:pPr>
        <w:pStyle w:val="Heading2"/>
      </w:pPr>
      <w:r w:rsidRPr="00A40EE1">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In the FFY 2022 SPP/APR, the State must report whether its FFY 2022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r>
    </w:p>
    <w:p w14:paraId="097370A1" w14:textId="77777777" w:rsidR="004C1CEE" w:rsidRPr="00ED172B" w:rsidRDefault="004C1CEE" w:rsidP="00DC0682">
      <w:pPr>
        <w:rPr>
          <w:rFonts w:cs="Arial"/>
          <w:color w:val="000000" w:themeColor="text1"/>
          <w:szCs w:val="16"/>
        </w:rPr>
      </w:pPr>
    </w:p>
    <w:p w14:paraId="36FD66B9" w14:textId="5DCA020A" w:rsidR="00DC0682" w:rsidRPr="00ED172B" w:rsidRDefault="00DC0682"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517638FD" w14:textId="11CB85A2" w:rsidR="004C1CEE" w:rsidRPr="00ED172B" w:rsidRDefault="004C1CEE" w:rsidP="00027F39">
      <w:pPr>
        <w:rPr>
          <w:color w:val="000000" w:themeColor="text1"/>
        </w:rPr>
      </w:pP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lastRenderedPageBreak/>
        <w:t xml:space="preserve">4 - </w:t>
      </w:r>
      <w:r w:rsidR="00DC0682" w:rsidRPr="00A40EE1">
        <w:t>OSEP Response</w:t>
      </w:r>
    </w:p>
    <w:p w14:paraId="55B96259" w14:textId="37B92EE8" w:rsidR="00DC0682" w:rsidRPr="00ED172B" w:rsidRDefault="00DC0682" w:rsidP="00027F39">
      <w:pPr>
        <w:rPr>
          <w:color w:val="000000" w:themeColor="text1"/>
        </w:rPr>
      </w:pPr>
    </w:p>
    <w:p w14:paraId="43FEC740" w14:textId="22A7B19A" w:rsidR="00DC0682" w:rsidRPr="00A40EE1" w:rsidRDefault="000D0117" w:rsidP="005C3FFD">
      <w:pPr>
        <w:pStyle w:val="Heading2"/>
      </w:pPr>
      <w:r w:rsidRPr="00A40EE1">
        <w:t xml:space="preserve">4 - </w:t>
      </w:r>
      <w:r w:rsidR="00DC0682" w:rsidRPr="00A40EE1">
        <w:t>Required Actions</w:t>
      </w:r>
    </w:p>
    <w:p w14:paraId="202EB0B4" w14:textId="1EF7FA87" w:rsidR="00DC0682" w:rsidRPr="00ED172B" w:rsidRDefault="00291EA9" w:rsidP="00027F39">
      <w:pPr>
        <w:rPr>
          <w:color w:val="000000" w:themeColor="text1"/>
        </w:rPr>
      </w:pPr>
      <w:r w:rsidRPr="00ED172B">
        <w:rPr>
          <w:color w:val="000000" w:themeColor="text1"/>
        </w:rPr>
        <w:t>In the FFY 2023 SPP/APR, the State must report whether its FFY 2023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r>
    </w:p>
    <w:p w14:paraId="11D8B7F8"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27" w:name="_Toc384383330"/>
      <w:bookmarkStart w:id="28" w:name="_Toc392159282"/>
      <w:bookmarkStart w:id="29" w:name="_Toc382082372"/>
      <w:bookmarkEnd w:id="25"/>
      <w:bookmarkEnd w:id="26"/>
      <w:r w:rsidRPr="00ED172B">
        <w:rPr>
          <w:color w:val="000000" w:themeColor="text1"/>
        </w:rPr>
        <w:lastRenderedPageBreak/>
        <w:t xml:space="preserve">Indicator </w:t>
      </w:r>
      <w:bookmarkEnd w:id="27"/>
      <w:bookmarkEnd w:id="28"/>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0" w:name="_Toc384383331"/>
      <w:bookmarkStart w:id="31"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67AF22C2" w14:textId="26675CCD" w:rsidR="005918D1" w:rsidRPr="00ED172B" w:rsidRDefault="005918D1" w:rsidP="00815A6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 xml:space="preserve">Percent = [(#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46896635" w:rsidR="005918D1" w:rsidRPr="00ED172B" w:rsidRDefault="005918D1" w:rsidP="00815A6D">
      <w:pPr>
        <w:rPr>
          <w:rFonts w:cs="Arial"/>
          <w:color w:val="000000" w:themeColor="text1"/>
          <w:szCs w:val="16"/>
        </w:rPr>
      </w:pPr>
      <w:r w:rsidRPr="00ED172B">
        <w:rPr>
          <w:rFonts w:cs="Arial"/>
          <w:color w:val="000000" w:themeColor="text1"/>
          <w:szCs w:val="16"/>
        </w:rPr>
        <w:t xml:space="preserve">Describe the results of the </w:t>
      </w:r>
      <w:proofErr w:type="spellStart"/>
      <w:proofErr w:type="gramStart"/>
      <w:r w:rsidRPr="00ED172B">
        <w:rPr>
          <w:rFonts w:cs="Arial"/>
          <w:color w:val="000000" w:themeColor="text1"/>
          <w:szCs w:val="16"/>
        </w:rPr>
        <w:t>calculations.The</w:t>
      </w:r>
      <w:proofErr w:type="spellEnd"/>
      <w:proofErr w:type="gramEnd"/>
      <w:r w:rsidRPr="00ED172B">
        <w:rPr>
          <w:rFonts w:cs="Arial"/>
          <w:color w:val="000000" w:themeColor="text1"/>
          <w:szCs w:val="16"/>
        </w:rPr>
        <w:t xml:space="preserve"> data reported in this indicator should be consistent with the State’s reported 618 data reported in Table 1. If not, explain why.</w:t>
      </w:r>
    </w:p>
    <w:bookmarkEnd w:id="30"/>
    <w:bookmarkEnd w:id="31"/>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2" w:name="_Toc384383332"/>
      <w:bookmarkStart w:id="33"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shd w:val="clear" w:color="auto" w:fill="auto"/>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shd w:val="clear" w:color="auto" w:fill="auto"/>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shd w:val="clear" w:color="auto" w:fill="auto"/>
            <w:vAlign w:val="center"/>
          </w:tcPr>
          <w:p w14:paraId="2BDEA77F"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shd w:val="clear" w:color="auto" w:fill="auto"/>
            <w:vAlign w:val="center"/>
          </w:tcPr>
          <w:p w14:paraId="17CC8BB4" w14:textId="77777777" w:rsidR="00E30D86" w:rsidRPr="00ED172B" w:rsidRDefault="00E30D86" w:rsidP="00C15786">
            <w:pPr>
              <w:jc w:val="center"/>
              <w:rPr>
                <w:b/>
                <w:color w:val="000000" w:themeColor="text1"/>
              </w:rPr>
            </w:pPr>
            <w:r w:rsidRPr="00ED172B">
              <w:rPr>
                <w:color w:val="000000" w:themeColor="text1"/>
              </w:rPr>
              <w:t>0.47%</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shd w:val="clear" w:color="auto" w:fill="auto"/>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2017</w:t>
            </w:r>
          </w:p>
        </w:tc>
        <w:tc>
          <w:tcPr>
            <w:tcW w:w="1026" w:type="pct"/>
            <w:shd w:val="clear" w:color="auto" w:fill="auto"/>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06A3AA4A" w14:textId="77777777" w:rsidTr="00986B99">
        <w:trPr>
          <w:trHeight w:val="357"/>
        </w:trPr>
        <w:tc>
          <w:tcPr>
            <w:tcW w:w="415" w:type="pct"/>
            <w:shd w:val="clear" w:color="auto" w:fill="auto"/>
          </w:tcPr>
          <w:p w14:paraId="0F1B242F" w14:textId="0D1F307B"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1.00%</w:t>
            </w:r>
          </w:p>
        </w:tc>
        <w:tc>
          <w:tcPr>
            <w:tcW w:w="1026" w:type="pct"/>
            <w:shd w:val="clear" w:color="auto" w:fill="auto"/>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1.00%</w:t>
            </w:r>
          </w:p>
        </w:tc>
        <w:tc>
          <w:tcPr>
            <w:tcW w:w="867" w:type="pct"/>
            <w:shd w:val="clear" w:color="auto" w:fill="auto"/>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1.08%</w:t>
            </w:r>
          </w:p>
        </w:tc>
        <w:tc>
          <w:tcPr>
            <w:tcW w:w="867" w:type="pct"/>
            <w:shd w:val="clear" w:color="auto" w:fill="auto"/>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1.08%</w:t>
            </w:r>
          </w:p>
        </w:tc>
        <w:tc>
          <w:tcPr>
            <w:tcW w:w="866" w:type="pct"/>
            <w:shd w:val="clear" w:color="auto" w:fill="auto"/>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1.12%</w:t>
            </w:r>
          </w:p>
        </w:tc>
      </w:tr>
      <w:tr w:rsidR="00ED172B" w:rsidRPr="00ED172B" w14:paraId="341885EA" w14:textId="77777777" w:rsidTr="00986B99">
        <w:trPr>
          <w:trHeight w:val="85"/>
        </w:trPr>
        <w:tc>
          <w:tcPr>
            <w:tcW w:w="415" w:type="pct"/>
            <w:shd w:val="clear" w:color="auto" w:fill="auto"/>
          </w:tcPr>
          <w:p w14:paraId="4FC87C40"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1.13%</w:t>
            </w:r>
          </w:p>
        </w:tc>
        <w:tc>
          <w:tcPr>
            <w:tcW w:w="1026" w:type="pct"/>
            <w:shd w:val="clear" w:color="auto" w:fill="auto"/>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1.08%</w:t>
            </w:r>
          </w:p>
        </w:tc>
        <w:tc>
          <w:tcPr>
            <w:tcW w:w="867" w:type="pct"/>
            <w:tcBorders>
              <w:bottom w:val="single" w:sz="4" w:space="0" w:color="auto"/>
            </w:tcBorders>
            <w:shd w:val="clear" w:color="auto" w:fill="auto"/>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1.08%</w:t>
            </w:r>
          </w:p>
        </w:tc>
        <w:tc>
          <w:tcPr>
            <w:tcW w:w="867" w:type="pct"/>
            <w:tcBorders>
              <w:bottom w:val="single" w:sz="4" w:space="0" w:color="auto"/>
            </w:tcBorders>
            <w:shd w:val="clear" w:color="auto" w:fill="auto"/>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1.07%</w:t>
            </w:r>
          </w:p>
        </w:tc>
        <w:tc>
          <w:tcPr>
            <w:tcW w:w="866" w:type="pct"/>
            <w:tcBorders>
              <w:bottom w:val="single" w:sz="4" w:space="0" w:color="auto"/>
            </w:tcBorders>
            <w:shd w:val="clear" w:color="auto" w:fill="auto"/>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1.30%</w:t>
            </w:r>
          </w:p>
        </w:tc>
      </w:tr>
    </w:tbl>
    <w:p w14:paraId="2BD62AC4" w14:textId="77777777" w:rsidR="0085799B" w:rsidRPr="00ED172B" w:rsidRDefault="0085799B">
      <w:pPr>
        <w:rPr>
          <w:b/>
          <w:color w:val="000000" w:themeColor="text1"/>
        </w:rPr>
      </w:pPr>
      <w:r w:rsidRPr="00ED172B">
        <w:rPr>
          <w:b/>
          <w:color w:val="000000" w:themeColor="text1"/>
        </w:rPr>
        <w:t>Targets</w:t>
      </w:r>
    </w:p>
    <w:tbl>
      <w:tblPr>
        <w:tblW w:w="3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8"/>
        <w:gridCol w:w="2206"/>
        <w:gridCol w:w="1549"/>
        <w:gridCol w:w="1548"/>
        <w:gridCol w:w="1548"/>
      </w:tblGrid>
      <w:tr w:rsidR="00C843AF" w:rsidRPr="00ED172B" w14:paraId="74AFA9B9" w14:textId="3E825C5D" w:rsidTr="00E415ED">
        <w:trPr>
          <w:trHeight w:val="116"/>
        </w:trPr>
        <w:tc>
          <w:tcPr>
            <w:tcW w:w="579" w:type="pct"/>
            <w:tcBorders>
              <w:bottom w:val="single" w:sz="4" w:space="0" w:color="auto"/>
            </w:tcBorders>
            <w:shd w:val="clear" w:color="auto" w:fill="auto"/>
          </w:tcPr>
          <w:p w14:paraId="523362FD" w14:textId="77777777" w:rsidR="00C843AF" w:rsidRPr="00ED172B" w:rsidRDefault="00C843AF" w:rsidP="006B2FE9">
            <w:pPr>
              <w:jc w:val="center"/>
              <w:rPr>
                <w:b/>
                <w:color w:val="000000" w:themeColor="text1"/>
                <w:szCs w:val="16"/>
              </w:rPr>
            </w:pPr>
            <w:r w:rsidRPr="00ED172B">
              <w:rPr>
                <w:b/>
                <w:color w:val="000000" w:themeColor="text1"/>
                <w:szCs w:val="16"/>
              </w:rPr>
              <w:t>FFY</w:t>
            </w:r>
          </w:p>
        </w:tc>
        <w:tc>
          <w:tcPr>
            <w:tcW w:w="1423" w:type="pct"/>
            <w:shd w:val="clear" w:color="auto" w:fill="auto"/>
            <w:vAlign w:val="center"/>
          </w:tcPr>
          <w:p w14:paraId="1869702F" w14:textId="32C21C20" w:rsidR="00C843AF" w:rsidRPr="00ED172B" w:rsidRDefault="00C843AF" w:rsidP="006B2FE9">
            <w:pPr>
              <w:jc w:val="center"/>
              <w:rPr>
                <w:b/>
                <w:color w:val="000000" w:themeColor="text1"/>
                <w:szCs w:val="16"/>
              </w:rPr>
            </w:pPr>
            <w:r w:rsidRPr="00ED172B">
              <w:rPr>
                <w:rFonts w:cs="Arial"/>
                <w:b/>
                <w:color w:val="000000" w:themeColor="text1"/>
                <w:szCs w:val="16"/>
              </w:rPr>
              <w:t>2022</w:t>
            </w:r>
          </w:p>
        </w:tc>
        <w:tc>
          <w:tcPr>
            <w:tcW w:w="999" w:type="pct"/>
          </w:tcPr>
          <w:p w14:paraId="1E994EDB" w14:textId="1B6309A9" w:rsidR="00C843AF" w:rsidRPr="00ED172B" w:rsidRDefault="00C843AF" w:rsidP="006B2FE9">
            <w:pPr>
              <w:jc w:val="center"/>
              <w:rPr>
                <w:rFonts w:cs="Arial"/>
                <w:b/>
                <w:color w:val="000000" w:themeColor="text1"/>
                <w:szCs w:val="16"/>
              </w:rPr>
            </w:pPr>
            <w:r>
              <w:rPr>
                <w:rFonts w:cs="Arial"/>
                <w:b/>
                <w:color w:val="000000" w:themeColor="text1"/>
                <w:szCs w:val="16"/>
              </w:rPr>
              <w:t>2023</w:t>
            </w:r>
          </w:p>
        </w:tc>
        <w:tc>
          <w:tcPr>
            <w:tcW w:w="999" w:type="pct"/>
          </w:tcPr>
          <w:p w14:paraId="7A72E812" w14:textId="41764C05" w:rsidR="00C843AF" w:rsidRPr="00ED172B" w:rsidRDefault="00C843AF" w:rsidP="006B2FE9">
            <w:pPr>
              <w:jc w:val="center"/>
              <w:rPr>
                <w:rFonts w:cs="Arial"/>
                <w:b/>
                <w:color w:val="000000" w:themeColor="text1"/>
                <w:szCs w:val="16"/>
              </w:rPr>
            </w:pPr>
            <w:r w:rsidRPr="005A1B4F">
              <w:rPr>
                <w:rFonts w:cs="Arial"/>
                <w:b/>
                <w:color w:val="000000" w:themeColor="text1"/>
                <w:szCs w:val="16"/>
              </w:rPr>
              <w:t>2024</w:t>
            </w:r>
          </w:p>
        </w:tc>
        <w:tc>
          <w:tcPr>
            <w:tcW w:w="999" w:type="pct"/>
          </w:tcPr>
          <w:p w14:paraId="253DE371" w14:textId="724F3B6C" w:rsidR="00C843AF" w:rsidRPr="00ED172B" w:rsidRDefault="00C843AF" w:rsidP="006B2FE9">
            <w:pPr>
              <w:jc w:val="center"/>
              <w:rPr>
                <w:rFonts w:cs="Arial"/>
                <w:b/>
                <w:color w:val="000000" w:themeColor="text1"/>
                <w:szCs w:val="16"/>
              </w:rPr>
            </w:pPr>
            <w:r w:rsidRPr="005A1B4F">
              <w:rPr>
                <w:rFonts w:cs="Arial"/>
                <w:b/>
                <w:color w:val="000000" w:themeColor="text1"/>
                <w:szCs w:val="16"/>
              </w:rPr>
              <w:t>2025</w:t>
            </w:r>
          </w:p>
        </w:tc>
      </w:tr>
      <w:tr w:rsidR="00C843AF" w:rsidRPr="00ED172B" w14:paraId="0186A9C7" w14:textId="618C48DC" w:rsidTr="00E415ED">
        <w:trPr>
          <w:trHeight w:val="47"/>
        </w:trPr>
        <w:tc>
          <w:tcPr>
            <w:tcW w:w="579" w:type="pct"/>
            <w:shd w:val="clear" w:color="auto" w:fill="auto"/>
          </w:tcPr>
          <w:p w14:paraId="120F223C" w14:textId="3DF65C2B" w:rsidR="00C843AF" w:rsidRPr="00ED172B" w:rsidRDefault="00C843AF"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423" w:type="pct"/>
            <w:shd w:val="clear" w:color="auto" w:fill="auto"/>
            <w:vAlign w:val="center"/>
          </w:tcPr>
          <w:p w14:paraId="69A10D5E" w14:textId="2F3AB178" w:rsidR="00C843AF" w:rsidRPr="00ED172B" w:rsidRDefault="00C843AF" w:rsidP="006B2FE9">
            <w:pPr>
              <w:jc w:val="center"/>
              <w:rPr>
                <w:color w:val="000000" w:themeColor="text1"/>
              </w:rPr>
            </w:pPr>
            <w:r w:rsidRPr="00ED172B">
              <w:rPr>
                <w:color w:val="000000" w:themeColor="text1"/>
              </w:rPr>
              <w:t>1.16%</w:t>
            </w:r>
          </w:p>
        </w:tc>
        <w:tc>
          <w:tcPr>
            <w:tcW w:w="999" w:type="pct"/>
          </w:tcPr>
          <w:p w14:paraId="712AD20E" w14:textId="70001C50" w:rsidR="00C843AF" w:rsidRPr="00ED172B" w:rsidRDefault="00C843AF" w:rsidP="006B2FE9">
            <w:pPr>
              <w:jc w:val="center"/>
              <w:rPr>
                <w:color w:val="000000" w:themeColor="text1"/>
              </w:rPr>
            </w:pPr>
            <w:r>
              <w:rPr>
                <w:rFonts w:cs="Arial"/>
                <w:color w:val="000000" w:themeColor="text1"/>
                <w:szCs w:val="16"/>
              </w:rPr>
              <w:t>1.20%</w:t>
            </w:r>
          </w:p>
        </w:tc>
        <w:tc>
          <w:tcPr>
            <w:tcW w:w="999" w:type="pct"/>
          </w:tcPr>
          <w:p w14:paraId="12C95701" w14:textId="02635F0F" w:rsidR="00C843AF" w:rsidRPr="00ED172B" w:rsidRDefault="00C843AF" w:rsidP="006B2FE9">
            <w:pPr>
              <w:jc w:val="center"/>
              <w:rPr>
                <w:color w:val="000000" w:themeColor="text1"/>
              </w:rPr>
            </w:pPr>
            <w:r w:rsidRPr="005F5F3C">
              <w:rPr>
                <w:rFonts w:cs="Arial"/>
                <w:color w:val="000000" w:themeColor="text1"/>
                <w:szCs w:val="16"/>
              </w:rPr>
              <w:t>1.24%</w:t>
            </w:r>
          </w:p>
        </w:tc>
        <w:tc>
          <w:tcPr>
            <w:tcW w:w="999" w:type="pct"/>
          </w:tcPr>
          <w:p w14:paraId="511B74D7" w14:textId="61EB56D0" w:rsidR="00C843AF" w:rsidRPr="00ED172B" w:rsidRDefault="00C843AF" w:rsidP="006B2FE9">
            <w:pPr>
              <w:jc w:val="center"/>
              <w:rPr>
                <w:color w:val="000000" w:themeColor="text1"/>
              </w:rPr>
            </w:pPr>
            <w:r w:rsidRPr="005F5F3C">
              <w:rPr>
                <w:rFonts w:cs="Arial"/>
                <w:color w:val="000000" w:themeColor="text1"/>
                <w:szCs w:val="16"/>
              </w:rPr>
              <w:t>1.28%</w:t>
            </w:r>
          </w:p>
        </w:tc>
      </w:tr>
    </w:tbl>
    <w:bookmarkEnd w:id="32"/>
    <w:bookmarkEnd w:id="33"/>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64577F9" w14:textId="64F68B2E" w:rsidR="0053197E" w:rsidRDefault="00CF03E0" w:rsidP="00ED172B">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w:t>
      </w:r>
      <w:r w:rsidRPr="00ED172B">
        <w:rPr>
          <w:color w:val="000000" w:themeColor="text1"/>
        </w:rPr>
        <w:lastRenderedPageBreak/>
        <w:t xml:space="preserve">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50D1A7E1" w14:textId="184B178A" w:rsidR="00A2772B" w:rsidRPr="00ED172B" w:rsidRDefault="00A2772B" w:rsidP="00F80C9C">
      <w:pPr>
        <w:pStyle w:val="Bold"/>
        <w:rPr>
          <w:b w:val="0"/>
          <w:color w:val="000000" w:themeColor="text1"/>
        </w:rPr>
      </w:pP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shd w:val="clear" w:color="auto" w:fill="auto"/>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shd w:val="clear" w:color="auto" w:fill="auto"/>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544" w:type="pct"/>
            <w:shd w:val="clear" w:color="auto" w:fill="auto"/>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08/30/2023</w:t>
            </w:r>
          </w:p>
        </w:tc>
        <w:tc>
          <w:tcPr>
            <w:tcW w:w="1334" w:type="pct"/>
            <w:shd w:val="clear" w:color="auto" w:fill="auto"/>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 xml:space="preserve">Number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w:t>
            </w:r>
          </w:p>
        </w:tc>
        <w:tc>
          <w:tcPr>
            <w:tcW w:w="791" w:type="pct"/>
            <w:shd w:val="clear" w:color="auto" w:fill="auto"/>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404</w:t>
            </w:r>
          </w:p>
        </w:tc>
      </w:tr>
      <w:tr w:rsidR="00ED172B" w:rsidRPr="00ED172B" w14:paraId="189CFC15" w14:textId="77777777" w:rsidTr="00986B99">
        <w:trPr>
          <w:trHeight w:val="380"/>
        </w:trPr>
        <w:tc>
          <w:tcPr>
            <w:tcW w:w="1332" w:type="pct"/>
            <w:shd w:val="clear" w:color="auto" w:fill="auto"/>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2021</w:t>
            </w:r>
          </w:p>
        </w:tc>
        <w:tc>
          <w:tcPr>
            <w:tcW w:w="1544" w:type="pct"/>
            <w:shd w:val="clear" w:color="auto" w:fill="auto"/>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06/20/2023</w:t>
            </w:r>
          </w:p>
        </w:tc>
        <w:tc>
          <w:tcPr>
            <w:tcW w:w="1334" w:type="pct"/>
            <w:shd w:val="clear" w:color="auto" w:fill="auto"/>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 xml:space="preserve">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w:t>
            </w:r>
          </w:p>
        </w:tc>
        <w:tc>
          <w:tcPr>
            <w:tcW w:w="791" w:type="pct"/>
            <w:shd w:val="clear" w:color="auto" w:fill="auto"/>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33,611</w:t>
            </w:r>
          </w:p>
        </w:tc>
      </w:tr>
    </w:tbl>
    <w:p w14:paraId="10606B16" w14:textId="29BD186B" w:rsidR="005918D1" w:rsidRPr="00ED172B" w:rsidRDefault="00F22D09">
      <w:pPr>
        <w:rPr>
          <w:b/>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shd w:val="clear" w:color="auto" w:fill="auto"/>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 xml:space="preserve">Number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1 with IFSPs</w:t>
            </w:r>
          </w:p>
        </w:tc>
        <w:tc>
          <w:tcPr>
            <w:tcW w:w="918" w:type="pct"/>
            <w:shd w:val="clear" w:color="auto" w:fill="auto"/>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 xml:space="preserve">Population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1</w:t>
            </w:r>
          </w:p>
        </w:tc>
        <w:tc>
          <w:tcPr>
            <w:tcW w:w="668" w:type="pct"/>
            <w:shd w:val="clear" w:color="auto" w:fill="auto"/>
            <w:vAlign w:val="bottom"/>
          </w:tcPr>
          <w:p w14:paraId="49A3AF77" w14:textId="565E9218" w:rsidR="00967D30" w:rsidRPr="00ED172B" w:rsidRDefault="00CD74B5" w:rsidP="00967D30">
            <w:pPr>
              <w:jc w:val="center"/>
              <w:rPr>
                <w:rFonts w:cs="Arial"/>
                <w:b/>
                <w:color w:val="000000" w:themeColor="text1"/>
                <w:szCs w:val="16"/>
              </w:rPr>
            </w:pPr>
            <w:r>
              <w:rPr>
                <w:rFonts w:cs="Arial"/>
                <w:b/>
                <w:color w:val="000000" w:themeColor="text1"/>
                <w:szCs w:val="16"/>
              </w:rPr>
              <w:t>FFY 2021 Data</w:t>
            </w:r>
          </w:p>
        </w:tc>
        <w:tc>
          <w:tcPr>
            <w:tcW w:w="625" w:type="pct"/>
            <w:shd w:val="clear" w:color="auto" w:fill="auto"/>
            <w:vAlign w:val="bottom"/>
          </w:tcPr>
          <w:p w14:paraId="278F3E66" w14:textId="051778AA" w:rsidR="00967D30" w:rsidRPr="00ED172B" w:rsidRDefault="00F22D09" w:rsidP="00967D30">
            <w:pPr>
              <w:jc w:val="center"/>
              <w:rPr>
                <w:rFonts w:cs="Arial"/>
                <w:b/>
                <w:color w:val="000000" w:themeColor="text1"/>
                <w:szCs w:val="16"/>
              </w:rPr>
            </w:pPr>
            <w:r>
              <w:rPr>
                <w:rFonts w:cs="Arial"/>
                <w:b/>
                <w:color w:val="000000" w:themeColor="text1"/>
                <w:szCs w:val="16"/>
              </w:rPr>
              <w:t>FFY 2022 Target</w:t>
            </w:r>
          </w:p>
        </w:tc>
        <w:tc>
          <w:tcPr>
            <w:tcW w:w="542" w:type="pct"/>
            <w:shd w:val="clear" w:color="auto" w:fill="auto"/>
            <w:vAlign w:val="bottom"/>
          </w:tcPr>
          <w:p w14:paraId="3D59A48C" w14:textId="707CD258" w:rsidR="00967D30" w:rsidRPr="00ED172B" w:rsidRDefault="00F22D09" w:rsidP="00967D30">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shd w:val="clear" w:color="auto" w:fill="auto"/>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404</w:t>
            </w:r>
          </w:p>
        </w:tc>
        <w:tc>
          <w:tcPr>
            <w:tcW w:w="918" w:type="pct"/>
            <w:shd w:val="clear" w:color="auto" w:fill="auto"/>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33,611</w:t>
            </w:r>
          </w:p>
        </w:tc>
        <w:tc>
          <w:tcPr>
            <w:tcW w:w="668" w:type="pct"/>
            <w:shd w:val="clear" w:color="auto" w:fill="auto"/>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1.30%</w:t>
            </w:r>
          </w:p>
        </w:tc>
        <w:tc>
          <w:tcPr>
            <w:tcW w:w="625" w:type="pct"/>
            <w:shd w:val="clear" w:color="auto" w:fill="auto"/>
            <w:vAlign w:val="center"/>
          </w:tcPr>
          <w:p w14:paraId="2B5C85A7" w14:textId="7D699F44" w:rsidR="00D3555C" w:rsidRPr="00ED172B" w:rsidRDefault="00632DF6" w:rsidP="00632DF6">
            <w:pPr>
              <w:jc w:val="center"/>
              <w:rPr>
                <w:color w:val="000000" w:themeColor="text1"/>
              </w:rPr>
            </w:pPr>
            <w:r w:rsidRPr="00ED172B">
              <w:rPr>
                <w:color w:val="000000" w:themeColor="text1"/>
              </w:rPr>
              <w:t>1.16%</w:t>
            </w:r>
          </w:p>
        </w:tc>
        <w:tc>
          <w:tcPr>
            <w:tcW w:w="542" w:type="pct"/>
            <w:shd w:val="clear" w:color="auto" w:fill="auto"/>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1.20%</w:t>
            </w:r>
          </w:p>
        </w:tc>
        <w:tc>
          <w:tcPr>
            <w:tcW w:w="542" w:type="pct"/>
            <w:shd w:val="clear" w:color="auto" w:fill="auto"/>
            <w:vAlign w:val="center"/>
          </w:tcPr>
          <w:p w14:paraId="29F870EC" w14:textId="610FD0F7" w:rsidR="00D3555C" w:rsidRPr="00ED172B" w:rsidRDefault="00632DF6" w:rsidP="00632DF6">
            <w:pPr>
              <w:jc w:val="center"/>
              <w:rPr>
                <w:color w:val="000000" w:themeColor="text1"/>
              </w:rPr>
            </w:pPr>
            <w:r w:rsidRPr="00ED172B">
              <w:rPr>
                <w:color w:val="000000" w:themeColor="text1"/>
              </w:rPr>
              <w:t>Met target</w:t>
            </w:r>
          </w:p>
        </w:tc>
        <w:tc>
          <w:tcPr>
            <w:tcW w:w="496" w:type="pct"/>
            <w:shd w:val="clear" w:color="auto" w:fill="auto"/>
            <w:vAlign w:val="center"/>
          </w:tcPr>
          <w:p w14:paraId="3B10C568" w14:textId="17A3466F" w:rsidR="00D3555C" w:rsidRPr="00ED172B" w:rsidRDefault="00632DF6" w:rsidP="00632DF6">
            <w:pPr>
              <w:jc w:val="center"/>
              <w:rPr>
                <w:color w:val="000000" w:themeColor="text1"/>
              </w:rPr>
            </w:pPr>
            <w:r w:rsidRPr="00ED172B">
              <w:rPr>
                <w:color w:val="000000" w:themeColor="text1"/>
              </w:rPr>
              <w:t>No Slippage</w:t>
            </w:r>
          </w:p>
        </w:tc>
      </w:tr>
    </w:tbl>
    <w:p w14:paraId="3CBC9B31" w14:textId="2AC53FB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A9A6EA9" w14:textId="71C8D759" w:rsidR="003A3693" w:rsidRPr="00ED172B" w:rsidRDefault="00860830" w:rsidP="00632DF6">
      <w:pPr>
        <w:rPr>
          <w:color w:val="000000" w:themeColor="text1"/>
        </w:rPr>
      </w:pPr>
      <w:r w:rsidRPr="00ED172B">
        <w:rPr>
          <w:color w:val="000000" w:themeColor="text1"/>
        </w:rPr>
        <w:t>Data for this indicator are gathered through the Tracking Resources and Children (TRAC) statewide data system and include all children with an active Individualized Family Service Plan (IFSP) on December 1, 2022. This is a point-in-time count.</w:t>
      </w:r>
      <w:r w:rsidRPr="00ED172B">
        <w:rPr>
          <w:color w:val="000000" w:themeColor="text1"/>
        </w:rPr>
        <w:br/>
      </w:r>
      <w:r w:rsidRPr="00ED172B">
        <w:rPr>
          <w:color w:val="000000" w:themeColor="text1"/>
        </w:rPr>
        <w:br/>
        <w:t>Nevada count of children served ages birth to one (1) year for this reporting period was 404 which is 34 less children than reported for December 1, 2021. The number represents 1.20% of the general population of infants in the State. The IDEA Part C Office continues to implement strategies to ensure that state and local referral sources are aware of how to access and refer infants for whom there is a developmental concern.</w:t>
      </w:r>
    </w:p>
    <w:p w14:paraId="570F9CF2" w14:textId="73DF43E4" w:rsidR="00DC0682" w:rsidRPr="00A40EE1" w:rsidRDefault="000D0117" w:rsidP="005C3FFD">
      <w:pPr>
        <w:pStyle w:val="Heading2"/>
      </w:pPr>
      <w:r w:rsidRPr="00A40EE1">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DC0682" w:rsidP="00027F39">
      <w:pPr>
        <w:rPr>
          <w:color w:val="000000" w:themeColor="text1"/>
        </w:rPr>
      </w:pP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DC0682" w:rsidP="00027F39">
      <w:pPr>
        <w:rPr>
          <w:color w:val="000000" w:themeColor="text1"/>
        </w:rPr>
      </w:pPr>
    </w:p>
    <w:p w14:paraId="4FD273CC"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4" w:name="_Toc381956335"/>
      <w:bookmarkStart w:id="35" w:name="_Toc384383336"/>
      <w:bookmarkStart w:id="36" w:name="_Toc392159288"/>
      <w:r w:rsidRPr="00ED172B">
        <w:rPr>
          <w:color w:val="000000" w:themeColor="text1"/>
        </w:rPr>
        <w:lastRenderedPageBreak/>
        <w:t xml:space="preserve">Indicator </w:t>
      </w:r>
      <w:bookmarkEnd w:id="34"/>
      <w:bookmarkEnd w:id="35"/>
      <w:bookmarkEnd w:id="36"/>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w:t>
      </w:r>
      <w:proofErr w:type="gramStart"/>
      <w:r w:rsidRPr="00ED172B">
        <w:rPr>
          <w:color w:val="000000" w:themeColor="text1"/>
          <w:szCs w:val="16"/>
        </w:rPr>
        <w:t>toddlers</w:t>
      </w:r>
      <w:proofErr w:type="gramEnd"/>
      <w:r w:rsidRPr="00ED172B">
        <w:rPr>
          <w:color w:val="000000" w:themeColor="text1"/>
          <w:szCs w:val="16"/>
        </w:rPr>
        <w:t xml:space="preserve">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195C42B9" w14:textId="72C89367" w:rsidR="005918D1" w:rsidRPr="00ED172B" w:rsidRDefault="005918D1" w:rsidP="00B609A4">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 xml:space="preserve">Percent = [(# of infants and </w:t>
      </w:r>
      <w:proofErr w:type="gramStart"/>
      <w:r w:rsidRPr="00ED172B">
        <w:rPr>
          <w:color w:val="000000" w:themeColor="text1"/>
          <w:szCs w:val="16"/>
        </w:rPr>
        <w:t>toddlers</w:t>
      </w:r>
      <w:proofErr w:type="gramEnd"/>
      <w:r w:rsidRPr="00ED172B">
        <w:rPr>
          <w:color w:val="000000" w:themeColor="text1"/>
          <w:szCs w:val="16"/>
        </w:rPr>
        <w:t xml:space="preserve">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3012401A" w:rsidR="001C3D0E" w:rsidRPr="00ED172B" w:rsidRDefault="001C3D0E" w:rsidP="00B609A4">
      <w:pPr>
        <w:rPr>
          <w:color w:val="000000" w:themeColor="text1"/>
          <w:szCs w:val="16"/>
        </w:rPr>
      </w:pPr>
      <w:r w:rsidRPr="00ED172B">
        <w:rPr>
          <w:color w:val="000000" w:themeColor="text1"/>
          <w:szCs w:val="16"/>
        </w:rPr>
        <w:t xml:space="preserve">Describe the results of the </w:t>
      </w:r>
      <w:proofErr w:type="gramStart"/>
      <w:r w:rsidRPr="00ED172B">
        <w:rPr>
          <w:color w:val="000000" w:themeColor="text1"/>
          <w:szCs w:val="16"/>
        </w:rPr>
        <w:t>calculations .</w:t>
      </w:r>
      <w:proofErr w:type="gramEnd"/>
      <w:r w:rsidRPr="00ED172B">
        <w:rPr>
          <w:color w:val="000000" w:themeColor="text1"/>
          <w:szCs w:val="16"/>
        </w:rPr>
        <w:t xml:space="preserve"> The data reported in this indicator should be consistent with the State’s reported 618 data reported in Table 1. If not, explain why.</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4B7C8292" w:rsidR="00C779B5" w:rsidRDefault="00C779B5" w:rsidP="00C779B5"/>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shd w:val="clear" w:color="auto" w:fill="auto"/>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shd w:val="clear" w:color="auto" w:fill="auto"/>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shd w:val="clear" w:color="auto" w:fill="auto"/>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shd w:val="clear" w:color="auto" w:fill="auto"/>
            <w:vAlign w:val="center"/>
          </w:tcPr>
          <w:p w14:paraId="7FCE749A" w14:textId="77777777" w:rsidR="00CA65C9" w:rsidRPr="00ED172B" w:rsidRDefault="00CA65C9" w:rsidP="00C15786">
            <w:pPr>
              <w:jc w:val="center"/>
              <w:rPr>
                <w:b/>
                <w:color w:val="000000" w:themeColor="text1"/>
              </w:rPr>
            </w:pPr>
            <w:r w:rsidRPr="00ED172B">
              <w:rPr>
                <w:color w:val="000000" w:themeColor="text1"/>
              </w:rPr>
              <w:t>1.36%</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shd w:val="clear" w:color="auto" w:fill="auto"/>
          </w:tcPr>
          <w:p w14:paraId="5CA2C8B5" w14:textId="77777777" w:rsidR="00EF4A30" w:rsidRPr="00ED172B" w:rsidRDefault="00EF4A30" w:rsidP="00186420">
            <w:pPr>
              <w:jc w:val="center"/>
              <w:rPr>
                <w:b/>
                <w:color w:val="000000" w:themeColor="text1"/>
                <w:szCs w:val="16"/>
              </w:rPr>
            </w:pPr>
            <w:bookmarkStart w:id="37" w:name="_Toc392159294"/>
            <w:r w:rsidRPr="00ED172B">
              <w:rPr>
                <w:b/>
                <w:color w:val="000000" w:themeColor="text1"/>
                <w:szCs w:val="16"/>
              </w:rPr>
              <w:t>FFY</w:t>
            </w:r>
          </w:p>
        </w:tc>
        <w:tc>
          <w:tcPr>
            <w:tcW w:w="959" w:type="pct"/>
            <w:shd w:val="clear" w:color="auto" w:fill="auto"/>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2017</w:t>
            </w:r>
          </w:p>
        </w:tc>
        <w:tc>
          <w:tcPr>
            <w:tcW w:w="1026" w:type="pct"/>
            <w:shd w:val="clear" w:color="auto" w:fill="auto"/>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2487552A" w14:textId="77777777" w:rsidTr="00986B99">
        <w:trPr>
          <w:trHeight w:val="357"/>
        </w:trPr>
        <w:tc>
          <w:tcPr>
            <w:tcW w:w="415" w:type="pct"/>
            <w:shd w:val="clear" w:color="auto" w:fill="auto"/>
          </w:tcPr>
          <w:p w14:paraId="0BDCC722" w14:textId="2BFAD67F"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2.00%</w:t>
            </w:r>
          </w:p>
        </w:tc>
        <w:tc>
          <w:tcPr>
            <w:tcW w:w="1026" w:type="pct"/>
            <w:shd w:val="clear" w:color="auto" w:fill="auto"/>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2.00%</w:t>
            </w:r>
          </w:p>
        </w:tc>
        <w:tc>
          <w:tcPr>
            <w:tcW w:w="867" w:type="pct"/>
            <w:shd w:val="clear" w:color="auto" w:fill="auto"/>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2.46%</w:t>
            </w:r>
          </w:p>
        </w:tc>
        <w:tc>
          <w:tcPr>
            <w:tcW w:w="867" w:type="pct"/>
            <w:shd w:val="clear" w:color="auto" w:fill="auto"/>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2.46%</w:t>
            </w:r>
          </w:p>
        </w:tc>
        <w:tc>
          <w:tcPr>
            <w:tcW w:w="866" w:type="pct"/>
            <w:shd w:val="clear" w:color="auto" w:fill="auto"/>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2.63%</w:t>
            </w:r>
          </w:p>
        </w:tc>
      </w:tr>
      <w:tr w:rsidR="00ED172B" w:rsidRPr="00ED172B" w14:paraId="3DE11503" w14:textId="77777777" w:rsidTr="00986B99">
        <w:trPr>
          <w:trHeight w:val="85"/>
        </w:trPr>
        <w:tc>
          <w:tcPr>
            <w:tcW w:w="415" w:type="pct"/>
            <w:shd w:val="clear" w:color="auto" w:fill="auto"/>
          </w:tcPr>
          <w:p w14:paraId="76DAE92C"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shd w:val="clear" w:color="auto" w:fill="auto"/>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2.95%</w:t>
            </w:r>
          </w:p>
        </w:tc>
        <w:tc>
          <w:tcPr>
            <w:tcW w:w="1026" w:type="pct"/>
            <w:shd w:val="clear" w:color="auto" w:fill="auto"/>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2.97%</w:t>
            </w:r>
          </w:p>
        </w:tc>
        <w:tc>
          <w:tcPr>
            <w:tcW w:w="867" w:type="pct"/>
            <w:tcBorders>
              <w:bottom w:val="single" w:sz="4" w:space="0" w:color="auto"/>
            </w:tcBorders>
            <w:shd w:val="clear" w:color="auto" w:fill="auto"/>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3.19%</w:t>
            </w:r>
          </w:p>
        </w:tc>
        <w:tc>
          <w:tcPr>
            <w:tcW w:w="867" w:type="pct"/>
            <w:tcBorders>
              <w:bottom w:val="single" w:sz="4" w:space="0" w:color="auto"/>
            </w:tcBorders>
            <w:shd w:val="clear" w:color="auto" w:fill="auto"/>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2.73%</w:t>
            </w:r>
          </w:p>
        </w:tc>
        <w:tc>
          <w:tcPr>
            <w:tcW w:w="866" w:type="pct"/>
            <w:tcBorders>
              <w:bottom w:val="single" w:sz="4" w:space="0" w:color="auto"/>
            </w:tcBorders>
            <w:shd w:val="clear" w:color="auto" w:fill="auto"/>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3.05%</w:t>
            </w:r>
          </w:p>
        </w:tc>
      </w:tr>
    </w:tbl>
    <w:p w14:paraId="7EEFF1E6" w14:textId="77777777" w:rsidR="00EF4A30" w:rsidRPr="00ED172B" w:rsidRDefault="00EF4A30">
      <w:pPr>
        <w:rPr>
          <w:b/>
          <w:color w:val="000000" w:themeColor="text1"/>
        </w:rPr>
      </w:pPr>
      <w:r w:rsidRPr="00ED172B">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39"/>
        <w:gridCol w:w="1542"/>
        <w:gridCol w:w="1543"/>
        <w:gridCol w:w="1542"/>
        <w:gridCol w:w="1542"/>
      </w:tblGrid>
      <w:tr w:rsidR="00C843AF" w:rsidRPr="00ED172B" w14:paraId="1D435074" w14:textId="5FE636B7" w:rsidTr="00E415ED">
        <w:trPr>
          <w:trHeight w:val="277"/>
        </w:trPr>
        <w:tc>
          <w:tcPr>
            <w:tcW w:w="999" w:type="pct"/>
            <w:tcBorders>
              <w:bottom w:val="single" w:sz="4" w:space="0" w:color="auto"/>
            </w:tcBorders>
            <w:shd w:val="clear" w:color="auto" w:fill="auto"/>
          </w:tcPr>
          <w:p w14:paraId="561FEE47" w14:textId="77777777" w:rsidR="00C843AF" w:rsidRPr="00ED172B" w:rsidRDefault="00C843AF" w:rsidP="006B2FE9">
            <w:pPr>
              <w:jc w:val="center"/>
              <w:rPr>
                <w:b/>
                <w:color w:val="000000" w:themeColor="text1"/>
                <w:szCs w:val="16"/>
              </w:rPr>
            </w:pPr>
            <w:r w:rsidRPr="00ED172B">
              <w:rPr>
                <w:b/>
                <w:color w:val="000000" w:themeColor="text1"/>
                <w:szCs w:val="16"/>
              </w:rPr>
              <w:t>FFY</w:t>
            </w:r>
          </w:p>
        </w:tc>
        <w:tc>
          <w:tcPr>
            <w:tcW w:w="1000" w:type="pct"/>
            <w:shd w:val="clear" w:color="auto" w:fill="auto"/>
            <w:vAlign w:val="center"/>
          </w:tcPr>
          <w:p w14:paraId="2204FF06" w14:textId="1616FAAA" w:rsidR="00C843AF" w:rsidRPr="00ED172B" w:rsidRDefault="00C843AF" w:rsidP="006B2FE9">
            <w:pPr>
              <w:jc w:val="center"/>
              <w:rPr>
                <w:b/>
                <w:color w:val="000000" w:themeColor="text1"/>
                <w:szCs w:val="16"/>
              </w:rPr>
            </w:pPr>
            <w:r w:rsidRPr="00ED172B">
              <w:rPr>
                <w:rFonts w:cs="Arial"/>
                <w:b/>
                <w:color w:val="000000" w:themeColor="text1"/>
                <w:szCs w:val="16"/>
              </w:rPr>
              <w:t>2022</w:t>
            </w:r>
          </w:p>
        </w:tc>
        <w:tc>
          <w:tcPr>
            <w:tcW w:w="1001" w:type="pct"/>
          </w:tcPr>
          <w:p w14:paraId="1DCDE632" w14:textId="0D933CB4" w:rsidR="00C843AF" w:rsidRPr="00ED172B" w:rsidRDefault="00C843AF" w:rsidP="006B2FE9">
            <w:pPr>
              <w:jc w:val="center"/>
              <w:rPr>
                <w:rFonts w:cs="Arial"/>
                <w:b/>
                <w:color w:val="000000" w:themeColor="text1"/>
                <w:szCs w:val="16"/>
              </w:rPr>
            </w:pPr>
            <w:r>
              <w:rPr>
                <w:rFonts w:cs="Arial"/>
                <w:b/>
                <w:color w:val="000000" w:themeColor="text1"/>
                <w:szCs w:val="16"/>
              </w:rPr>
              <w:t>2023</w:t>
            </w:r>
          </w:p>
        </w:tc>
        <w:tc>
          <w:tcPr>
            <w:tcW w:w="1000" w:type="pct"/>
          </w:tcPr>
          <w:p w14:paraId="7F04CC39" w14:textId="648C9051" w:rsidR="00C843AF" w:rsidRPr="00ED172B" w:rsidRDefault="00C843AF" w:rsidP="006B2FE9">
            <w:pPr>
              <w:jc w:val="center"/>
              <w:rPr>
                <w:rFonts w:cs="Arial"/>
                <w:b/>
                <w:color w:val="000000" w:themeColor="text1"/>
                <w:szCs w:val="16"/>
              </w:rPr>
            </w:pPr>
            <w:r w:rsidRPr="005A1B4F">
              <w:rPr>
                <w:rFonts w:cs="Arial"/>
                <w:b/>
                <w:color w:val="000000" w:themeColor="text1"/>
                <w:szCs w:val="16"/>
              </w:rPr>
              <w:t>2024</w:t>
            </w:r>
          </w:p>
        </w:tc>
        <w:tc>
          <w:tcPr>
            <w:tcW w:w="1001" w:type="pct"/>
          </w:tcPr>
          <w:p w14:paraId="761BB285" w14:textId="7F8965D6" w:rsidR="00C843AF" w:rsidRPr="00ED172B" w:rsidRDefault="00C843AF" w:rsidP="006B2FE9">
            <w:pPr>
              <w:jc w:val="center"/>
              <w:rPr>
                <w:rFonts w:cs="Arial"/>
                <w:b/>
                <w:color w:val="000000" w:themeColor="text1"/>
                <w:szCs w:val="16"/>
              </w:rPr>
            </w:pPr>
            <w:r w:rsidRPr="005A1B4F">
              <w:rPr>
                <w:rFonts w:cs="Arial"/>
                <w:b/>
                <w:color w:val="000000" w:themeColor="text1"/>
                <w:szCs w:val="16"/>
              </w:rPr>
              <w:t>2025</w:t>
            </w:r>
          </w:p>
        </w:tc>
      </w:tr>
      <w:tr w:rsidR="00C843AF" w:rsidRPr="00ED172B" w14:paraId="43BE8A8B" w14:textId="18ECC93C" w:rsidTr="00E415ED">
        <w:trPr>
          <w:trHeight w:val="283"/>
        </w:trPr>
        <w:tc>
          <w:tcPr>
            <w:tcW w:w="999" w:type="pct"/>
            <w:shd w:val="clear" w:color="auto" w:fill="auto"/>
          </w:tcPr>
          <w:p w14:paraId="3A722C96" w14:textId="7558E2BE" w:rsidR="00C843AF" w:rsidRPr="00ED172B" w:rsidRDefault="00C843AF"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000" w:type="pct"/>
            <w:shd w:val="clear" w:color="auto" w:fill="auto"/>
            <w:vAlign w:val="center"/>
          </w:tcPr>
          <w:p w14:paraId="4925440B" w14:textId="6DFF86C9" w:rsidR="00C843AF" w:rsidRPr="00ED172B" w:rsidRDefault="00C843AF" w:rsidP="006B2FE9">
            <w:pPr>
              <w:jc w:val="center"/>
              <w:rPr>
                <w:color w:val="000000" w:themeColor="text1"/>
              </w:rPr>
            </w:pPr>
            <w:r w:rsidRPr="00ED172B">
              <w:rPr>
                <w:color w:val="000000" w:themeColor="text1"/>
              </w:rPr>
              <w:t>2.80%</w:t>
            </w:r>
          </w:p>
        </w:tc>
        <w:tc>
          <w:tcPr>
            <w:tcW w:w="1001" w:type="pct"/>
          </w:tcPr>
          <w:p w14:paraId="4EF0C269" w14:textId="5AFCA64F" w:rsidR="00C843AF" w:rsidRPr="00ED172B" w:rsidRDefault="00C843AF" w:rsidP="006B2FE9">
            <w:pPr>
              <w:jc w:val="center"/>
              <w:rPr>
                <w:color w:val="000000" w:themeColor="text1"/>
              </w:rPr>
            </w:pPr>
            <w:r>
              <w:rPr>
                <w:rFonts w:cs="Arial"/>
                <w:color w:val="000000" w:themeColor="text1"/>
                <w:szCs w:val="16"/>
              </w:rPr>
              <w:t>2.97%</w:t>
            </w:r>
          </w:p>
        </w:tc>
        <w:tc>
          <w:tcPr>
            <w:tcW w:w="1000" w:type="pct"/>
          </w:tcPr>
          <w:p w14:paraId="055F1828" w14:textId="4AEDF7E7" w:rsidR="00C843AF" w:rsidRPr="00ED172B" w:rsidRDefault="00C843AF" w:rsidP="006B2FE9">
            <w:pPr>
              <w:jc w:val="center"/>
              <w:rPr>
                <w:color w:val="000000" w:themeColor="text1"/>
              </w:rPr>
            </w:pPr>
            <w:r w:rsidRPr="005F5F3C">
              <w:rPr>
                <w:rFonts w:cs="Arial"/>
                <w:color w:val="000000" w:themeColor="text1"/>
                <w:szCs w:val="16"/>
              </w:rPr>
              <w:t>3.14%</w:t>
            </w:r>
          </w:p>
        </w:tc>
        <w:tc>
          <w:tcPr>
            <w:tcW w:w="1001" w:type="pct"/>
          </w:tcPr>
          <w:p w14:paraId="2C2E5A20" w14:textId="44D7F271" w:rsidR="00C843AF" w:rsidRPr="00ED172B" w:rsidRDefault="00C843AF" w:rsidP="006B2FE9">
            <w:pPr>
              <w:jc w:val="center"/>
              <w:rPr>
                <w:color w:val="000000" w:themeColor="text1"/>
              </w:rPr>
            </w:pPr>
            <w:r w:rsidRPr="005F5F3C">
              <w:rPr>
                <w:rFonts w:cs="Arial"/>
                <w:color w:val="000000" w:themeColor="text1"/>
                <w:szCs w:val="16"/>
              </w:rPr>
              <w:t>3.31%</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21FFEE67" w14:textId="4F5F7951" w:rsidR="00B91988" w:rsidRDefault="00CF03E0" w:rsidP="00ED172B">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w:t>
      </w:r>
      <w:r w:rsidRPr="00ED172B">
        <w:rPr>
          <w:color w:val="000000" w:themeColor="text1"/>
        </w:rPr>
        <w:lastRenderedPageBreak/>
        <w:t xml:space="preserve">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712D4B5A" w14:textId="60F10C46" w:rsidR="004A1179" w:rsidRPr="00ED172B" w:rsidRDefault="004A1179" w:rsidP="00F80C9C">
      <w:pPr>
        <w:pStyle w:val="Bold"/>
        <w:rPr>
          <w:b w:val="0"/>
          <w:color w:val="000000" w:themeColor="text1"/>
        </w:rPr>
      </w:pP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shd w:val="clear" w:color="auto" w:fill="auto"/>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shd w:val="clear" w:color="auto" w:fill="auto"/>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585" w:type="pct"/>
            <w:shd w:val="clear" w:color="auto" w:fill="auto"/>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08/30/2023</w:t>
            </w:r>
          </w:p>
        </w:tc>
        <w:tc>
          <w:tcPr>
            <w:tcW w:w="1167" w:type="pct"/>
            <w:shd w:val="clear" w:color="auto" w:fill="auto"/>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 xml:space="preserve">Number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3 with IFSPs</w:t>
            </w:r>
          </w:p>
        </w:tc>
        <w:tc>
          <w:tcPr>
            <w:tcW w:w="791" w:type="pct"/>
            <w:shd w:val="clear" w:color="auto" w:fill="auto"/>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3,273</w:t>
            </w:r>
          </w:p>
        </w:tc>
      </w:tr>
      <w:tr w:rsidR="00ED172B" w:rsidRPr="00ED172B" w14:paraId="27E196B0" w14:textId="77777777" w:rsidTr="00986B99">
        <w:trPr>
          <w:trHeight w:val="380"/>
        </w:trPr>
        <w:tc>
          <w:tcPr>
            <w:tcW w:w="1457" w:type="pct"/>
            <w:shd w:val="clear" w:color="auto" w:fill="auto"/>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2021</w:t>
            </w:r>
          </w:p>
        </w:tc>
        <w:tc>
          <w:tcPr>
            <w:tcW w:w="1585" w:type="pct"/>
            <w:shd w:val="clear" w:color="auto" w:fill="auto"/>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06/20/2023</w:t>
            </w:r>
          </w:p>
        </w:tc>
        <w:tc>
          <w:tcPr>
            <w:tcW w:w="1167" w:type="pct"/>
            <w:shd w:val="clear" w:color="auto" w:fill="auto"/>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 xml:space="preserve">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3</w:t>
            </w:r>
          </w:p>
        </w:tc>
        <w:tc>
          <w:tcPr>
            <w:tcW w:w="791" w:type="pct"/>
            <w:shd w:val="clear" w:color="auto" w:fill="auto"/>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102,227</w:t>
            </w:r>
          </w:p>
        </w:tc>
      </w:tr>
    </w:tbl>
    <w:p w14:paraId="145EA13A" w14:textId="7B4F17EC" w:rsidR="00B609A4" w:rsidRPr="00ED172B" w:rsidRDefault="00F22D09">
      <w:pPr>
        <w:rPr>
          <w:b/>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shd w:val="clear" w:color="auto" w:fill="auto"/>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 xml:space="preserve">Number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3 with IFSPs</w:t>
            </w:r>
          </w:p>
        </w:tc>
        <w:tc>
          <w:tcPr>
            <w:tcW w:w="959" w:type="pct"/>
            <w:shd w:val="clear" w:color="auto" w:fill="auto"/>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 xml:space="preserve">Population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3</w:t>
            </w:r>
          </w:p>
        </w:tc>
        <w:tc>
          <w:tcPr>
            <w:tcW w:w="625" w:type="pct"/>
            <w:shd w:val="clear" w:color="auto" w:fill="auto"/>
            <w:vAlign w:val="bottom"/>
          </w:tcPr>
          <w:p w14:paraId="27E4FD75" w14:textId="2455A934" w:rsidR="00967D30" w:rsidRPr="00ED172B" w:rsidRDefault="00CD74B5" w:rsidP="00967D30">
            <w:pPr>
              <w:jc w:val="center"/>
              <w:rPr>
                <w:rFonts w:cs="Arial"/>
                <w:b/>
                <w:color w:val="000000" w:themeColor="text1"/>
                <w:szCs w:val="16"/>
              </w:rPr>
            </w:pPr>
            <w:r>
              <w:rPr>
                <w:rFonts w:cs="Arial"/>
                <w:b/>
                <w:color w:val="000000" w:themeColor="text1"/>
                <w:szCs w:val="16"/>
              </w:rPr>
              <w:t>FFY 2021 Data</w:t>
            </w:r>
          </w:p>
        </w:tc>
        <w:tc>
          <w:tcPr>
            <w:tcW w:w="584" w:type="pct"/>
            <w:shd w:val="clear" w:color="auto" w:fill="auto"/>
            <w:vAlign w:val="bottom"/>
          </w:tcPr>
          <w:p w14:paraId="16DC2F19" w14:textId="0548FC19" w:rsidR="00967D30" w:rsidRPr="00ED172B" w:rsidRDefault="00F22D09" w:rsidP="00967D30">
            <w:pPr>
              <w:jc w:val="center"/>
              <w:rPr>
                <w:rFonts w:cs="Arial"/>
                <w:b/>
                <w:color w:val="000000" w:themeColor="text1"/>
                <w:szCs w:val="16"/>
              </w:rPr>
            </w:pPr>
            <w:r>
              <w:rPr>
                <w:rFonts w:cs="Arial"/>
                <w:b/>
                <w:color w:val="000000" w:themeColor="text1"/>
                <w:szCs w:val="16"/>
              </w:rPr>
              <w:t>FFY 2022 Target</w:t>
            </w:r>
          </w:p>
        </w:tc>
        <w:tc>
          <w:tcPr>
            <w:tcW w:w="583" w:type="pct"/>
            <w:shd w:val="clear" w:color="auto" w:fill="auto"/>
            <w:vAlign w:val="bottom"/>
          </w:tcPr>
          <w:p w14:paraId="18079166" w14:textId="5BFBF424" w:rsidR="00967D30" w:rsidRPr="00ED172B" w:rsidRDefault="00F22D09" w:rsidP="00967D30">
            <w:pPr>
              <w:jc w:val="center"/>
              <w:rPr>
                <w:rFonts w:cs="Arial"/>
                <w:b/>
                <w:color w:val="000000" w:themeColor="text1"/>
                <w:szCs w:val="16"/>
              </w:rPr>
            </w:pPr>
            <w:r>
              <w:rPr>
                <w:rFonts w:cs="Arial"/>
                <w:b/>
                <w:color w:val="000000" w:themeColor="text1"/>
                <w:szCs w:val="16"/>
              </w:rPr>
              <w:t>FFY 2022 Data</w:t>
            </w:r>
          </w:p>
        </w:tc>
        <w:tc>
          <w:tcPr>
            <w:tcW w:w="584" w:type="pct"/>
            <w:shd w:val="clear" w:color="auto" w:fill="auto"/>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shd w:val="clear" w:color="auto" w:fill="auto"/>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3,273</w:t>
            </w:r>
          </w:p>
        </w:tc>
        <w:tc>
          <w:tcPr>
            <w:tcW w:w="959" w:type="pct"/>
            <w:shd w:val="clear" w:color="auto" w:fill="auto"/>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102,227</w:t>
            </w:r>
          </w:p>
        </w:tc>
        <w:tc>
          <w:tcPr>
            <w:tcW w:w="625" w:type="pct"/>
            <w:shd w:val="clear" w:color="auto" w:fill="auto"/>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3.05%</w:t>
            </w:r>
          </w:p>
        </w:tc>
        <w:tc>
          <w:tcPr>
            <w:tcW w:w="584" w:type="pct"/>
            <w:shd w:val="clear" w:color="auto" w:fill="auto"/>
            <w:vAlign w:val="center"/>
          </w:tcPr>
          <w:p w14:paraId="2F4AA092" w14:textId="5BD12D82" w:rsidR="00897554" w:rsidRPr="00ED172B" w:rsidRDefault="00632DF6" w:rsidP="00632DF6">
            <w:pPr>
              <w:jc w:val="center"/>
              <w:rPr>
                <w:color w:val="000000" w:themeColor="text1"/>
              </w:rPr>
            </w:pPr>
            <w:r w:rsidRPr="00ED172B">
              <w:rPr>
                <w:color w:val="000000" w:themeColor="text1"/>
              </w:rPr>
              <w:t>2.80%</w:t>
            </w:r>
          </w:p>
        </w:tc>
        <w:tc>
          <w:tcPr>
            <w:tcW w:w="583" w:type="pct"/>
            <w:shd w:val="clear" w:color="auto" w:fill="auto"/>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3.20%</w:t>
            </w:r>
          </w:p>
        </w:tc>
        <w:tc>
          <w:tcPr>
            <w:tcW w:w="584" w:type="pct"/>
            <w:shd w:val="clear" w:color="auto" w:fill="auto"/>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shd w:val="clear" w:color="auto" w:fill="auto"/>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6FBC07A0" w14:textId="1DA65C5E"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B7D851B" w14:textId="10D0339D" w:rsidR="003A3693" w:rsidRPr="00ED172B" w:rsidRDefault="00860830" w:rsidP="003A3693">
      <w:pPr>
        <w:rPr>
          <w:rFonts w:cs="Arial"/>
          <w:color w:val="000000" w:themeColor="text1"/>
          <w:szCs w:val="16"/>
        </w:rPr>
      </w:pPr>
      <w:r w:rsidRPr="00ED172B">
        <w:rPr>
          <w:rFonts w:cs="Arial"/>
          <w:color w:val="000000" w:themeColor="text1"/>
          <w:szCs w:val="16"/>
        </w:rPr>
        <w:t>Data for this indicator were gathered through the Tracking Resources and Children (TRAC) statewide data system and include all children with an active Individualized Family Service Plan (IFSP) on December 1, 2022. This is a point-in-time count.</w:t>
      </w:r>
      <w:r w:rsidRPr="00ED172B">
        <w:rPr>
          <w:rFonts w:cs="Arial"/>
          <w:color w:val="000000" w:themeColor="text1"/>
          <w:szCs w:val="16"/>
        </w:rPr>
        <w:br/>
      </w:r>
      <w:r w:rsidRPr="00ED172B">
        <w:rPr>
          <w:rFonts w:cs="Arial"/>
          <w:color w:val="000000" w:themeColor="text1"/>
          <w:szCs w:val="16"/>
        </w:rPr>
        <w:br/>
        <w:t>Nevada count of children served ages birth to three (3) years for this reporting period was 3,273, which is 92 children more than reported for December 1, 2021 (3,181). Nevada’s performance at 3.2% met the 2.8% target. The IDEA Part C Office continues to implement strategies to ensure that state and local referral sources are aware of how to access and refer infants and toddlers for whom there is a developmental concern.</w:t>
      </w:r>
    </w:p>
    <w:p w14:paraId="38A791C3" w14:textId="149CEBCF" w:rsidR="00DC0682" w:rsidRPr="00A40EE1" w:rsidRDefault="000D0117" w:rsidP="005C3FFD">
      <w:pPr>
        <w:pStyle w:val="Heading2"/>
      </w:pPr>
      <w:r w:rsidRPr="00A40EE1">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DC0682" w:rsidP="00632DF6">
      <w:pPr>
        <w:rPr>
          <w:color w:val="000000" w:themeColor="text1"/>
        </w:rPr>
      </w:pP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29"/>
      <w:bookmarkEnd w:id="37"/>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38"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 xml:space="preserve">If data are from State monitoring, describe the method used to select EIS programs for monitoring. If data are from a </w:t>
      </w:r>
      <w:proofErr w:type="gramStart"/>
      <w:r w:rsidRPr="0055373D">
        <w:rPr>
          <w:i/>
          <w:iCs/>
          <w:color w:val="000000" w:themeColor="text1"/>
          <w:szCs w:val="16"/>
        </w:rPr>
        <w:t>State</w:t>
      </w:r>
      <w:proofErr w:type="gramEnd"/>
      <w:r w:rsidRPr="0055373D">
        <w:rPr>
          <w:i/>
          <w:iCs/>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77777777"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17D96FDF" w:rsidR="001C3D0E" w:rsidRPr="00ED172B" w:rsidRDefault="001C3D0E" w:rsidP="00B609A4">
      <w:pPr>
        <w:rPr>
          <w:color w:val="000000" w:themeColor="text1"/>
          <w:szCs w:val="16"/>
        </w:rPr>
      </w:pPr>
      <w:r w:rsidRPr="00ED172B">
        <w:rPr>
          <w:color w:val="000000" w:themeColor="text1"/>
          <w:szCs w:val="16"/>
        </w:rPr>
        <w:t xml:space="preserve">Provide detailed information about the timely correction of </w:t>
      </w:r>
      <w:r w:rsidR="00651137" w:rsidRPr="00D21F29">
        <w:rPr>
          <w:color w:val="000000" w:themeColor="text1"/>
          <w:szCs w:val="16"/>
        </w:rPr>
        <w:t>child-specific and regulatory/systemic</w:t>
      </w:r>
      <w:r w:rsidR="00651137" w:rsidRPr="00ED172B">
        <w:rPr>
          <w:color w:val="000000" w:themeColor="text1"/>
          <w:szCs w:val="16"/>
        </w:rPr>
        <w:t xml:space="preserve"> </w:t>
      </w:r>
      <w:r w:rsidRPr="00ED172B">
        <w:rPr>
          <w:color w:val="000000" w:themeColor="text1"/>
          <w:szCs w:val="16"/>
        </w:rPr>
        <w:t>noncompliance as noted in OSEP’s response</w:t>
      </w:r>
      <w:r w:rsidR="00651137">
        <w:rPr>
          <w:color w:val="000000" w:themeColor="text1"/>
          <w:szCs w:val="16"/>
        </w:rPr>
        <w:t xml:space="preserve"> </w:t>
      </w:r>
      <w:r w:rsidRPr="00ED172B">
        <w:rPr>
          <w:color w:val="000000" w:themeColor="text1"/>
          <w:szCs w:val="16"/>
        </w:rPr>
        <w:t>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3B28C90A" w:rsidR="001C3D0E" w:rsidRPr="00ED172B"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bookmarkEnd w:id="38"/>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39" w:name="_Toc382082375"/>
      <w:bookmarkStart w:id="40"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416D2651" w14:textId="77777777" w:rsidTr="00A40EE1">
        <w:trPr>
          <w:trHeight w:val="350"/>
          <w:tblHeader/>
        </w:trPr>
        <w:tc>
          <w:tcPr>
            <w:tcW w:w="4285" w:type="pct"/>
            <w:tcBorders>
              <w:bottom w:val="single" w:sz="4" w:space="0" w:color="auto"/>
            </w:tcBorders>
            <w:shd w:val="clear" w:color="auto" w:fill="auto"/>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shd w:val="clear" w:color="auto" w:fill="auto"/>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shd w:val="clear" w:color="auto" w:fill="auto"/>
            <w:vAlign w:val="center"/>
          </w:tcPr>
          <w:p w14:paraId="534E96B1" w14:textId="77777777" w:rsidR="00C25621" w:rsidRPr="00ED172B" w:rsidRDefault="00C25621" w:rsidP="00C15786">
            <w:pPr>
              <w:jc w:val="center"/>
              <w:rPr>
                <w:color w:val="000000" w:themeColor="text1"/>
              </w:rPr>
            </w:pPr>
            <w:r w:rsidRPr="00ED172B">
              <w:rPr>
                <w:color w:val="000000" w:themeColor="text1"/>
              </w:rPr>
              <w:t>67.10%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410B72DC" w14:textId="77777777" w:rsidTr="00A40EE1">
        <w:trPr>
          <w:trHeight w:val="350"/>
        </w:trPr>
        <w:tc>
          <w:tcPr>
            <w:tcW w:w="327" w:type="pct"/>
            <w:tcBorders>
              <w:bottom w:val="single" w:sz="4" w:space="0" w:color="auto"/>
            </w:tcBorders>
            <w:shd w:val="clear" w:color="auto" w:fill="auto"/>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5" w:type="pct"/>
            <w:shd w:val="clear" w:color="auto" w:fill="auto"/>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shd w:val="clear" w:color="auto" w:fill="auto"/>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7519736B" w14:textId="77777777" w:rsidTr="00A40EE1">
        <w:trPr>
          <w:trHeight w:val="357"/>
        </w:trPr>
        <w:tc>
          <w:tcPr>
            <w:tcW w:w="327" w:type="pct"/>
            <w:shd w:val="clear" w:color="auto" w:fill="auto"/>
          </w:tcPr>
          <w:p w14:paraId="6F4234B7" w14:textId="2FA82786"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shd w:val="clear" w:color="auto" w:fill="auto"/>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shd w:val="clear" w:color="auto" w:fill="auto"/>
          </w:tcPr>
          <w:p w14:paraId="6C6DCCED"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shd w:val="clear" w:color="auto" w:fill="auto"/>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99.76%</w:t>
            </w:r>
          </w:p>
        </w:tc>
        <w:tc>
          <w:tcPr>
            <w:tcW w:w="935" w:type="pct"/>
            <w:tcBorders>
              <w:bottom w:val="single" w:sz="4" w:space="0" w:color="auto"/>
            </w:tcBorders>
            <w:shd w:val="clear" w:color="auto" w:fill="auto"/>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Not Valid and Reliable</w:t>
            </w:r>
          </w:p>
        </w:tc>
        <w:tc>
          <w:tcPr>
            <w:tcW w:w="935" w:type="pct"/>
            <w:tcBorders>
              <w:bottom w:val="single" w:sz="4" w:space="0" w:color="auto"/>
            </w:tcBorders>
            <w:shd w:val="clear" w:color="auto" w:fill="auto"/>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99.01%</w:t>
            </w:r>
          </w:p>
        </w:tc>
        <w:tc>
          <w:tcPr>
            <w:tcW w:w="935" w:type="pct"/>
            <w:tcBorders>
              <w:bottom w:val="single" w:sz="4" w:space="0" w:color="auto"/>
            </w:tcBorders>
            <w:shd w:val="clear" w:color="auto" w:fill="auto"/>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99.18%</w:t>
            </w:r>
          </w:p>
        </w:tc>
        <w:tc>
          <w:tcPr>
            <w:tcW w:w="935" w:type="pct"/>
            <w:tcBorders>
              <w:bottom w:val="single" w:sz="4" w:space="0" w:color="auto"/>
            </w:tcBorders>
            <w:shd w:val="clear" w:color="auto" w:fill="auto"/>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95.86%</w:t>
            </w:r>
          </w:p>
        </w:tc>
      </w:tr>
    </w:tbl>
    <w:p w14:paraId="2990C042" w14:textId="77777777" w:rsidR="00DC0682" w:rsidRPr="00ED172B" w:rsidRDefault="00DC0682">
      <w:pPr>
        <w:rPr>
          <w:b/>
          <w:color w:val="000000" w:themeColor="text1"/>
        </w:rPr>
      </w:pPr>
      <w:r w:rsidRPr="00ED172B">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1908"/>
        <w:gridCol w:w="2044"/>
        <w:gridCol w:w="2044"/>
        <w:gridCol w:w="2043"/>
      </w:tblGrid>
      <w:tr w:rsidR="00C843AF" w:rsidRPr="00ED172B" w14:paraId="42B56D41" w14:textId="5E4E59B3" w:rsidTr="00E415ED">
        <w:trPr>
          <w:trHeight w:val="290"/>
        </w:trPr>
        <w:tc>
          <w:tcPr>
            <w:tcW w:w="327" w:type="pct"/>
            <w:tcBorders>
              <w:bottom w:val="single" w:sz="4" w:space="0" w:color="auto"/>
            </w:tcBorders>
            <w:shd w:val="clear" w:color="auto" w:fill="auto"/>
          </w:tcPr>
          <w:p w14:paraId="312C61F2" w14:textId="77777777" w:rsidR="00C843AF" w:rsidRPr="00ED172B" w:rsidRDefault="00C843AF" w:rsidP="006B2FE9">
            <w:pPr>
              <w:jc w:val="center"/>
              <w:rPr>
                <w:b/>
                <w:color w:val="000000" w:themeColor="text1"/>
                <w:szCs w:val="16"/>
              </w:rPr>
            </w:pPr>
            <w:r w:rsidRPr="00ED172B">
              <w:rPr>
                <w:b/>
                <w:color w:val="000000" w:themeColor="text1"/>
                <w:szCs w:val="16"/>
              </w:rPr>
              <w:t>FFY</w:t>
            </w:r>
          </w:p>
        </w:tc>
        <w:tc>
          <w:tcPr>
            <w:tcW w:w="1110" w:type="pct"/>
            <w:shd w:val="clear" w:color="auto" w:fill="auto"/>
            <w:vAlign w:val="center"/>
          </w:tcPr>
          <w:p w14:paraId="0EB63CB6" w14:textId="5BB5F4E7" w:rsidR="00C843AF" w:rsidRPr="00ED172B" w:rsidRDefault="00C843AF" w:rsidP="006B2FE9">
            <w:pPr>
              <w:jc w:val="center"/>
              <w:rPr>
                <w:b/>
                <w:color w:val="000000" w:themeColor="text1"/>
                <w:szCs w:val="16"/>
              </w:rPr>
            </w:pPr>
            <w:r w:rsidRPr="00ED172B">
              <w:rPr>
                <w:rFonts w:cs="Arial"/>
                <w:b/>
                <w:color w:val="000000" w:themeColor="text1"/>
                <w:szCs w:val="16"/>
              </w:rPr>
              <w:t>2022</w:t>
            </w:r>
          </w:p>
        </w:tc>
        <w:tc>
          <w:tcPr>
            <w:tcW w:w="1188" w:type="pct"/>
          </w:tcPr>
          <w:p w14:paraId="7ED41A5E" w14:textId="7318A542" w:rsidR="00C843AF" w:rsidRPr="00ED172B" w:rsidRDefault="00C843AF" w:rsidP="006B2FE9">
            <w:pPr>
              <w:jc w:val="center"/>
              <w:rPr>
                <w:rFonts w:cs="Arial"/>
                <w:b/>
                <w:color w:val="000000" w:themeColor="text1"/>
                <w:szCs w:val="16"/>
              </w:rPr>
            </w:pPr>
            <w:r>
              <w:rPr>
                <w:rFonts w:cs="Arial"/>
                <w:b/>
                <w:color w:val="000000" w:themeColor="text1"/>
                <w:szCs w:val="16"/>
              </w:rPr>
              <w:t>2023</w:t>
            </w:r>
          </w:p>
        </w:tc>
        <w:tc>
          <w:tcPr>
            <w:tcW w:w="1188" w:type="pct"/>
          </w:tcPr>
          <w:p w14:paraId="2A04747F" w14:textId="1388C632" w:rsidR="00C843AF" w:rsidRPr="00ED172B" w:rsidRDefault="00C843AF" w:rsidP="006B2FE9">
            <w:pPr>
              <w:jc w:val="center"/>
              <w:rPr>
                <w:rFonts w:cs="Arial"/>
                <w:b/>
                <w:color w:val="000000" w:themeColor="text1"/>
                <w:szCs w:val="16"/>
              </w:rPr>
            </w:pPr>
            <w:r w:rsidRPr="005A1B4F">
              <w:rPr>
                <w:rFonts w:cs="Arial"/>
                <w:b/>
                <w:color w:val="000000" w:themeColor="text1"/>
                <w:szCs w:val="16"/>
              </w:rPr>
              <w:t>2024</w:t>
            </w:r>
          </w:p>
        </w:tc>
        <w:tc>
          <w:tcPr>
            <w:tcW w:w="1188" w:type="pct"/>
          </w:tcPr>
          <w:p w14:paraId="07F5F8CB" w14:textId="01283154" w:rsidR="00C843AF" w:rsidRPr="00ED172B" w:rsidRDefault="00C843AF" w:rsidP="006B2FE9">
            <w:pPr>
              <w:jc w:val="center"/>
              <w:rPr>
                <w:rFonts w:cs="Arial"/>
                <w:b/>
                <w:color w:val="000000" w:themeColor="text1"/>
                <w:szCs w:val="16"/>
              </w:rPr>
            </w:pPr>
            <w:r w:rsidRPr="005A1B4F">
              <w:rPr>
                <w:rFonts w:cs="Arial"/>
                <w:b/>
                <w:color w:val="000000" w:themeColor="text1"/>
                <w:szCs w:val="16"/>
              </w:rPr>
              <w:t>2025</w:t>
            </w:r>
          </w:p>
        </w:tc>
      </w:tr>
      <w:tr w:rsidR="00C843AF" w:rsidRPr="00ED172B" w14:paraId="20F2223E" w14:textId="133D85CD" w:rsidTr="00E415ED">
        <w:trPr>
          <w:trHeight w:val="296"/>
        </w:trPr>
        <w:tc>
          <w:tcPr>
            <w:tcW w:w="327" w:type="pct"/>
            <w:shd w:val="clear" w:color="auto" w:fill="auto"/>
          </w:tcPr>
          <w:p w14:paraId="452D2810"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0" w:type="pct"/>
            <w:shd w:val="clear" w:color="auto" w:fill="auto"/>
          </w:tcPr>
          <w:p w14:paraId="7066C0AE" w14:textId="42C4A4CE" w:rsidR="00C843AF" w:rsidRPr="00ED172B" w:rsidRDefault="00C843AF" w:rsidP="006B2FE9">
            <w:pPr>
              <w:jc w:val="center"/>
              <w:rPr>
                <w:color w:val="000000" w:themeColor="text1"/>
              </w:rPr>
            </w:pPr>
            <w:r w:rsidRPr="00ED172B">
              <w:rPr>
                <w:color w:val="000000" w:themeColor="text1"/>
              </w:rPr>
              <w:t>100%</w:t>
            </w:r>
          </w:p>
        </w:tc>
        <w:tc>
          <w:tcPr>
            <w:tcW w:w="1188" w:type="pct"/>
          </w:tcPr>
          <w:p w14:paraId="3A42CBDC" w14:textId="4C7BA2D0" w:rsidR="00C843AF" w:rsidRPr="00ED172B" w:rsidRDefault="00C843AF" w:rsidP="006B2FE9">
            <w:pPr>
              <w:jc w:val="center"/>
              <w:rPr>
                <w:color w:val="000000" w:themeColor="text1"/>
              </w:rPr>
            </w:pPr>
            <w:r>
              <w:rPr>
                <w:rFonts w:cs="Arial"/>
                <w:color w:val="000000" w:themeColor="text1"/>
                <w:szCs w:val="16"/>
              </w:rPr>
              <w:t>100%</w:t>
            </w:r>
          </w:p>
        </w:tc>
        <w:tc>
          <w:tcPr>
            <w:tcW w:w="1188" w:type="pct"/>
          </w:tcPr>
          <w:p w14:paraId="2F938E37" w14:textId="464506A5" w:rsidR="00C843AF" w:rsidRPr="00ED172B" w:rsidRDefault="00C843AF" w:rsidP="006B2FE9">
            <w:pPr>
              <w:jc w:val="center"/>
              <w:rPr>
                <w:color w:val="000000" w:themeColor="text1"/>
              </w:rPr>
            </w:pPr>
            <w:r w:rsidRPr="005F5F3C">
              <w:rPr>
                <w:rFonts w:cs="Arial"/>
                <w:color w:val="000000" w:themeColor="text1"/>
                <w:szCs w:val="16"/>
              </w:rPr>
              <w:t>100%</w:t>
            </w:r>
          </w:p>
        </w:tc>
        <w:tc>
          <w:tcPr>
            <w:tcW w:w="1188" w:type="pct"/>
          </w:tcPr>
          <w:p w14:paraId="4AC39EE9" w14:textId="73F47232" w:rsidR="00C843AF" w:rsidRPr="00ED172B" w:rsidRDefault="00C843AF" w:rsidP="006B2FE9">
            <w:pPr>
              <w:jc w:val="center"/>
              <w:rPr>
                <w:color w:val="000000" w:themeColor="text1"/>
              </w:rPr>
            </w:pPr>
            <w:r w:rsidRPr="005F5F3C">
              <w:rPr>
                <w:rFonts w:cs="Arial"/>
                <w:color w:val="000000" w:themeColor="text1"/>
                <w:szCs w:val="16"/>
              </w:rPr>
              <w:t>100%</w:t>
            </w:r>
          </w:p>
        </w:tc>
      </w:tr>
    </w:tbl>
    <w:p w14:paraId="61F72181" w14:textId="732786D6" w:rsidR="001C3D0E" w:rsidRPr="00ED172B" w:rsidRDefault="00F22D09">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shd w:val="clear" w:color="auto" w:fill="auto"/>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14:paraId="07D96066" w14:textId="4E6CB3CE" w:rsidR="008872E7" w:rsidRPr="00ED172B" w:rsidRDefault="00CD74B5" w:rsidP="008872E7">
            <w:pPr>
              <w:jc w:val="center"/>
              <w:rPr>
                <w:b/>
                <w:color w:val="000000" w:themeColor="text1"/>
                <w:szCs w:val="16"/>
              </w:rPr>
            </w:pPr>
            <w:r>
              <w:rPr>
                <w:rFonts w:cs="Arial"/>
                <w:b/>
                <w:color w:val="000000" w:themeColor="text1"/>
                <w:szCs w:val="16"/>
              </w:rPr>
              <w:t>FFY 2021 Data</w:t>
            </w:r>
          </w:p>
        </w:tc>
        <w:tc>
          <w:tcPr>
            <w:tcW w:w="626" w:type="pct"/>
            <w:shd w:val="clear" w:color="auto" w:fill="auto"/>
            <w:vAlign w:val="bottom"/>
          </w:tcPr>
          <w:p w14:paraId="02F56F6D" w14:textId="3B3ACD9D" w:rsidR="008872E7" w:rsidRPr="00ED172B" w:rsidRDefault="00F22D09" w:rsidP="008872E7">
            <w:pPr>
              <w:jc w:val="center"/>
              <w:rPr>
                <w:b/>
                <w:color w:val="000000" w:themeColor="text1"/>
                <w:szCs w:val="16"/>
              </w:rPr>
            </w:pPr>
            <w:r>
              <w:rPr>
                <w:rFonts w:cs="Arial"/>
                <w:b/>
                <w:color w:val="000000" w:themeColor="text1"/>
                <w:szCs w:val="16"/>
              </w:rPr>
              <w:t>FFY 2022 Target</w:t>
            </w:r>
          </w:p>
        </w:tc>
        <w:tc>
          <w:tcPr>
            <w:tcW w:w="584" w:type="pct"/>
            <w:shd w:val="clear" w:color="auto" w:fill="auto"/>
            <w:vAlign w:val="bottom"/>
          </w:tcPr>
          <w:p w14:paraId="43BEDF85" w14:textId="59EEC977" w:rsidR="008872E7" w:rsidRPr="00ED172B" w:rsidRDefault="00F22D09" w:rsidP="008872E7">
            <w:pPr>
              <w:jc w:val="center"/>
              <w:rPr>
                <w:b/>
                <w:color w:val="000000" w:themeColor="text1"/>
                <w:szCs w:val="16"/>
              </w:rPr>
            </w:pPr>
            <w:r>
              <w:rPr>
                <w:rFonts w:cs="Arial"/>
                <w:b/>
                <w:color w:val="000000" w:themeColor="text1"/>
                <w:szCs w:val="16"/>
              </w:rPr>
              <w:t>FFY 2022 Data</w:t>
            </w:r>
          </w:p>
        </w:tc>
        <w:tc>
          <w:tcPr>
            <w:tcW w:w="584" w:type="pct"/>
            <w:shd w:val="clear" w:color="auto" w:fill="auto"/>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shd w:val="clear" w:color="auto" w:fill="auto"/>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2,779</w:t>
            </w:r>
          </w:p>
        </w:tc>
        <w:tc>
          <w:tcPr>
            <w:tcW w:w="876" w:type="pct"/>
            <w:shd w:val="clear" w:color="auto" w:fill="auto"/>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3,768</w:t>
            </w:r>
          </w:p>
        </w:tc>
        <w:tc>
          <w:tcPr>
            <w:tcW w:w="667" w:type="pct"/>
            <w:shd w:val="clear" w:color="auto" w:fill="auto"/>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95.86%</w:t>
            </w:r>
          </w:p>
        </w:tc>
        <w:tc>
          <w:tcPr>
            <w:tcW w:w="626" w:type="pct"/>
            <w:shd w:val="clear" w:color="auto" w:fill="auto"/>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shd w:val="clear" w:color="auto" w:fill="auto"/>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96.26%</w:t>
            </w:r>
          </w:p>
        </w:tc>
        <w:tc>
          <w:tcPr>
            <w:tcW w:w="584" w:type="pct"/>
            <w:shd w:val="clear" w:color="auto" w:fill="auto"/>
          </w:tcPr>
          <w:p w14:paraId="1648FF7B" w14:textId="4177CD65" w:rsidR="008872E7" w:rsidRPr="00ED172B" w:rsidRDefault="00027F39" w:rsidP="00027F39">
            <w:pPr>
              <w:jc w:val="center"/>
              <w:rPr>
                <w:color w:val="000000" w:themeColor="text1"/>
              </w:rPr>
            </w:pPr>
            <w:r w:rsidRPr="00ED172B">
              <w:rPr>
                <w:color w:val="000000" w:themeColor="text1"/>
              </w:rPr>
              <w:t>Did not meet target</w:t>
            </w:r>
          </w:p>
        </w:tc>
        <w:tc>
          <w:tcPr>
            <w:tcW w:w="498" w:type="pct"/>
            <w:shd w:val="clear" w:color="auto" w:fill="auto"/>
          </w:tcPr>
          <w:p w14:paraId="38A3D273" w14:textId="3D8308F3" w:rsidR="008872E7" w:rsidRPr="00ED172B" w:rsidRDefault="00632DF6" w:rsidP="00027F39">
            <w:pPr>
              <w:jc w:val="center"/>
              <w:rPr>
                <w:color w:val="000000" w:themeColor="text1"/>
              </w:rPr>
            </w:pPr>
            <w:r w:rsidRPr="00ED172B">
              <w:rPr>
                <w:color w:val="000000" w:themeColor="text1"/>
              </w:rPr>
              <w:t>No Slippage</w:t>
            </w:r>
          </w:p>
        </w:tc>
      </w:tr>
    </w:tbl>
    <w:p w14:paraId="23726145" w14:textId="77777777" w:rsidR="00293B59" w:rsidRPr="00ED172B" w:rsidRDefault="00293B59" w:rsidP="00293B59">
      <w:pPr>
        <w:rPr>
          <w:color w:val="000000" w:themeColor="text1"/>
          <w:szCs w:val="16"/>
        </w:rPr>
      </w:pPr>
      <w:r w:rsidRPr="00ED172B">
        <w:rPr>
          <w:b/>
          <w:color w:val="000000" w:themeColor="text1"/>
          <w:szCs w:val="16"/>
        </w:rPr>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848</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lastRenderedPageBreak/>
        <w:t>Examples of family circumstances resulting in untimely initial evaluations and assessments with initial IFSPs conducted within 45-days, included missed or rescheduled appointments due to changes in the family’s schedule or child/family illness. Reasons for delay according to official child records include staff turnover, child illness (some child hospitalizations), families changing programs and having to restart intake process and parents canceling MDT or IFSP meetings due to work schedules or other schedule conflicts.</w:t>
      </w:r>
      <w:r w:rsidRPr="00ED172B">
        <w:rPr>
          <w:color w:val="000000" w:themeColor="text1"/>
          <w:szCs w:val="16"/>
        </w:rPr>
        <w:br/>
      </w:r>
      <w:r w:rsidRPr="00ED172B">
        <w:rPr>
          <w:color w:val="000000" w:themeColor="text1"/>
          <w:szCs w:val="16"/>
        </w:rPr>
        <w:br/>
        <w:t xml:space="preserve">After accounting for services delayed due to family circumstances, it was found that 3,627 of the 3,768 children reviewed (96.26%) received their initial evaluation and assessment and initial IFSP meeting within the 45-day timeline. For the 141 children who did not receive timely services, the reasons for delay include scheduling conflicts and critical personnel shortages. </w:t>
      </w:r>
      <w:r w:rsidRPr="00ED172B">
        <w:rPr>
          <w:color w:val="000000" w:themeColor="text1"/>
          <w:szCs w:val="16"/>
        </w:rPr>
        <w:br/>
      </w:r>
      <w:r w:rsidRPr="00ED172B">
        <w:rPr>
          <w:color w:val="000000" w:themeColor="text1"/>
          <w:szCs w:val="16"/>
        </w:rPr>
        <w:br/>
        <w:t>Nevada's EI system was greatly impacted by the loss of two (2) EI programs who terminated their service agreements within this fiscal reporting year. One (1) program in the northwestern (urban) region terminated their service agreement in November 2022 and the second program in the southern (urban) region terminated their service agreement in May 2023. These closures affected the system statewide. In fall of 2022, when the first program terminated their service agreement, one (1) program of four (4) opted out of receiving child records transferred due to already existing heavy caseloads. Of the 131 children with active IFSPs, 30 families chose to exit the NEIS system, leaving 101 active records to be transferred into three (3) programs. The single regional state program absorbed 61.4% of those records. All active records were reviewed by ADSD Quality Assurance for any applicable compensatory services and contacted families for their preference of program or if they wanted to continue services. Records were also reviewed by receiving programs to ensure continuity of services.</w:t>
      </w:r>
      <w:r w:rsidRPr="00ED172B">
        <w:rPr>
          <w:color w:val="000000" w:themeColor="text1"/>
          <w:szCs w:val="16"/>
        </w:rPr>
        <w:br/>
      </w:r>
      <w:r w:rsidRPr="00ED172B">
        <w:rPr>
          <w:color w:val="000000" w:themeColor="text1"/>
          <w:szCs w:val="16"/>
        </w:rPr>
        <w:br/>
        <w:t>The second program closure in early May 2023, only six (6) months after the first, impacted the southern region of the state. Although one (1) new program had joined this region of the NEIS system in February 2023, they did not receive any of the transferred child records as they were at capacity for new referrals during their onboarding timeframe. One (1) program in the south opted out of receiving transferred records during the second closure as they were dealing with staff turn-over, heavy caseloads, and upcoming scheduled IDEA Part C Comprehensive Monitoring. Three (3) programs in the south absorbed the caseload of 146 children, 56% of which went to the single regional state program.</w:t>
      </w:r>
      <w:r w:rsidRPr="00ED172B">
        <w:rPr>
          <w:color w:val="000000" w:themeColor="text1"/>
          <w:szCs w:val="16"/>
        </w:rPr>
        <w:br/>
      </w:r>
      <w:r w:rsidRPr="00ED172B">
        <w:rPr>
          <w:color w:val="000000" w:themeColor="text1"/>
          <w:szCs w:val="16"/>
        </w:rPr>
        <w:br/>
        <w:t xml:space="preserve">As a result of the two (2) programs' termination, programs statewide, </w:t>
      </w:r>
      <w:proofErr w:type="gramStart"/>
      <w:r w:rsidRPr="00ED172B">
        <w:rPr>
          <w:color w:val="000000" w:themeColor="text1"/>
          <w:szCs w:val="16"/>
        </w:rPr>
        <w:t>with the exception of</w:t>
      </w:r>
      <w:proofErr w:type="gramEnd"/>
      <w:r w:rsidRPr="00ED172B">
        <w:rPr>
          <w:color w:val="000000" w:themeColor="text1"/>
          <w:szCs w:val="16"/>
        </w:rPr>
        <w:t xml:space="preserve"> the two (2) state rural frontier programs, were tasked with absorbing all of the active children and families that transferred due to program closures. Referrals continued throughout the fiscal year, impacting programs statewide. </w:t>
      </w:r>
      <w:r w:rsidRPr="00ED172B">
        <w:rPr>
          <w:color w:val="000000" w:themeColor="text1"/>
          <w:szCs w:val="16"/>
        </w:rPr>
        <w:br/>
      </w:r>
      <w:r w:rsidRPr="00ED172B">
        <w:rPr>
          <w:color w:val="000000" w:themeColor="text1"/>
          <w:szCs w:val="16"/>
        </w:rPr>
        <w:br/>
        <w:t>The Nevada EI system is making proactive efforts toward closing the gap in retention disparities by developing a no cost "Grow Your Own" evidence-based program through the Nevada Early Intervention Professional Development Center (PD Center) to assist personnel in meeting professional requirements. There are currently 18 learners who are in a Developmental Specialist role who are in the first Cohort and set to graduate in April 2024 with their IDEA Part C Office Alternative Certification. This meets the requirements of the Nevada Department of Education, Early Childhood Developmentally Delayed (ECDD) endorsement.</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w:t>
      </w:r>
      <w:proofErr w:type="gramStart"/>
      <w:r w:rsidRPr="00ED172B">
        <w:rPr>
          <w:b/>
          <w:color w:val="000000" w:themeColor="text1"/>
        </w:rPr>
        <w:t>time period</w:t>
      </w:r>
      <w:proofErr w:type="gramEnd"/>
      <w:r w:rsidRPr="00ED172B">
        <w:rPr>
          <w:b/>
          <w:color w:val="000000" w:themeColor="text1"/>
        </w:rPr>
        <w:t xml:space="preserve">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 xml:space="preserve">July 1, </w:t>
      </w:r>
      <w:proofErr w:type="gramStart"/>
      <w:r w:rsidRPr="00ED172B">
        <w:rPr>
          <w:color w:val="000000" w:themeColor="text1"/>
        </w:rPr>
        <w:t>2022</w:t>
      </w:r>
      <w:proofErr w:type="gramEnd"/>
      <w:r w:rsidRPr="00ED172B">
        <w:rPr>
          <w:color w:val="000000" w:themeColor="text1"/>
        </w:rPr>
        <w:t xml:space="preserve"> through June 30, 2023</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 xml:space="preserve">The performance data for this indicator are taken from the Tracking Resources and Children (TRAC) data system. All early intervention service (EIS) providers in the State are required to maintain individual child data in the TRAC system for all children enrolled in their programs. The data for this report are based on the final data for the FFY 2022 reporting period. Data were collected from every child with a new referral and IFSP in all programs for the period from July 1,2022 through June 30, </w:t>
      </w:r>
      <w:proofErr w:type="gramStart"/>
      <w:r w:rsidRPr="00ED172B">
        <w:rPr>
          <w:rFonts w:cs="Arial"/>
          <w:color w:val="000000" w:themeColor="text1"/>
          <w:szCs w:val="16"/>
        </w:rPr>
        <w:t>2023</w:t>
      </w:r>
      <w:proofErr w:type="gramEnd"/>
      <w:r w:rsidRPr="00ED172B">
        <w:rPr>
          <w:rFonts w:cs="Arial"/>
          <w:color w:val="000000" w:themeColor="text1"/>
          <w:szCs w:val="16"/>
        </w:rPr>
        <w:t xml:space="preserve"> and is representative of the total population served in this time period. </w:t>
      </w:r>
    </w:p>
    <w:p w14:paraId="239AE944" w14:textId="7F02781E" w:rsidR="003A3693" w:rsidRPr="00ED172B" w:rsidRDefault="003A3693" w:rsidP="003A3693">
      <w:pPr>
        <w:rPr>
          <w:rFonts w:cs="Arial"/>
          <w:b/>
          <w:color w:val="000000" w:themeColor="text1"/>
          <w:szCs w:val="16"/>
        </w:rPr>
      </w:pPr>
      <w:bookmarkStart w:id="41" w:name="_Toc386209666"/>
      <w:bookmarkStart w:id="42" w:name="_Toc392159299"/>
      <w:bookmarkEnd w:id="39"/>
      <w:bookmarkEnd w:id="40"/>
      <w:r w:rsidRPr="00ED172B">
        <w:rPr>
          <w:rFonts w:cs="Arial"/>
          <w:b/>
          <w:color w:val="000000" w:themeColor="text1"/>
          <w:szCs w:val="16"/>
        </w:rPr>
        <w:t>Provide additional information about this indicator (optional).</w:t>
      </w:r>
    </w:p>
    <w:p w14:paraId="08F3AB46" w14:textId="3AE7E453" w:rsidR="003A3693" w:rsidRPr="00ED172B" w:rsidRDefault="00860830" w:rsidP="003A3693">
      <w:pPr>
        <w:rPr>
          <w:rFonts w:cs="Arial"/>
          <w:color w:val="000000" w:themeColor="text1"/>
          <w:szCs w:val="16"/>
        </w:rPr>
      </w:pPr>
      <w:r w:rsidRPr="00ED172B">
        <w:rPr>
          <w:rFonts w:cs="Arial"/>
          <w:color w:val="000000" w:themeColor="text1"/>
          <w:szCs w:val="16"/>
        </w:rPr>
        <w:t xml:space="preserve">The Nevada IDEA Part C Team considers that these data may be impacted due to staff turnover resulting in critical staff shortages. </w:t>
      </w:r>
      <w:r w:rsidRPr="00ED172B">
        <w:rPr>
          <w:rFonts w:cs="Arial"/>
          <w:color w:val="000000" w:themeColor="text1"/>
          <w:szCs w:val="16"/>
        </w:rPr>
        <w:br/>
        <w:t xml:space="preserve"> </w:t>
      </w:r>
      <w:r w:rsidRPr="00ED172B">
        <w:rPr>
          <w:rFonts w:cs="Arial"/>
          <w:color w:val="000000" w:themeColor="text1"/>
          <w:szCs w:val="16"/>
        </w:rPr>
        <w:br/>
        <w:t>A finding of noncompliance is issued to any program whose performance was less than 100%. In FFY 2022, five (5) programs were issued findings of noncompliance for the 45-day timeline. Quarterly data reviews will be ongoing as these five (5) programs are still within their year of correction and will be reported on during FFY 2023 federal reporting.</w:t>
      </w:r>
    </w:p>
    <w:p w14:paraId="78CA7AEE" w14:textId="38B3B45F" w:rsidR="008203B4" w:rsidRPr="00ED172B" w:rsidRDefault="008203B4"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shd w:val="clear" w:color="auto" w:fill="auto"/>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shd w:val="clear" w:color="auto" w:fill="auto"/>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11</w:t>
            </w:r>
          </w:p>
        </w:tc>
        <w:tc>
          <w:tcPr>
            <w:tcW w:w="1286" w:type="pct"/>
            <w:shd w:val="clear" w:color="auto" w:fill="auto"/>
          </w:tcPr>
          <w:p w14:paraId="6713A327" w14:textId="087EB1ED" w:rsidR="008203B4" w:rsidRPr="00ED172B" w:rsidRDefault="00860830" w:rsidP="00186420">
            <w:pPr>
              <w:jc w:val="center"/>
              <w:rPr>
                <w:rFonts w:cs="Arial"/>
                <w:color w:val="000000" w:themeColor="text1"/>
                <w:szCs w:val="16"/>
              </w:rPr>
            </w:pPr>
            <w:r w:rsidRPr="00ED172B">
              <w:rPr>
                <w:rFonts w:cs="Arial"/>
                <w:color w:val="000000" w:themeColor="text1"/>
                <w:szCs w:val="16"/>
              </w:rPr>
              <w:t>5</w:t>
            </w:r>
          </w:p>
        </w:tc>
        <w:tc>
          <w:tcPr>
            <w:tcW w:w="1229" w:type="pct"/>
            <w:shd w:val="clear" w:color="auto" w:fill="auto"/>
          </w:tcPr>
          <w:p w14:paraId="7767046D" w14:textId="6877FBBE" w:rsidR="008203B4" w:rsidRPr="00ED172B" w:rsidRDefault="00860830" w:rsidP="00186420">
            <w:pPr>
              <w:jc w:val="center"/>
              <w:rPr>
                <w:rFonts w:cs="Arial"/>
                <w:color w:val="000000" w:themeColor="text1"/>
                <w:szCs w:val="16"/>
              </w:rPr>
            </w:pPr>
            <w:r w:rsidRPr="00ED172B">
              <w:rPr>
                <w:rFonts w:cs="Arial"/>
                <w:color w:val="000000" w:themeColor="text1"/>
                <w:szCs w:val="16"/>
              </w:rPr>
              <w:t>1</w:t>
            </w:r>
          </w:p>
        </w:tc>
        <w:tc>
          <w:tcPr>
            <w:tcW w:w="1258" w:type="pct"/>
            <w:shd w:val="clear" w:color="auto" w:fill="auto"/>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5</w:t>
            </w:r>
          </w:p>
        </w:tc>
      </w:tr>
    </w:tbl>
    <w:p w14:paraId="4E4C4062" w14:textId="611B67B1" w:rsidR="008203B4" w:rsidRPr="00ED172B" w:rsidRDefault="00CD74B5" w:rsidP="00B83404">
      <w:pPr>
        <w:rPr>
          <w:color w:val="000000" w:themeColor="text1"/>
        </w:rPr>
      </w:pPr>
      <w:r>
        <w:rPr>
          <w:b/>
          <w:color w:val="000000" w:themeColor="text1"/>
        </w:rPr>
        <w:t>FFY 2021 Findings of Noncompliance Verified as Corrected</w:t>
      </w:r>
    </w:p>
    <w:p w14:paraId="5E4ECBB0" w14:textId="1CC718D4"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0031099B" w:rsidRPr="00ED172B">
        <w:rPr>
          <w:rFonts w:cs="Arial"/>
          <w:b/>
          <w:i/>
          <w:color w:val="000000" w:themeColor="text1"/>
          <w:szCs w:val="16"/>
        </w:rPr>
        <w:t>regulatory requirements</w:t>
      </w:r>
      <w:r w:rsidR="002959B0">
        <w:rPr>
          <w:rFonts w:cs="Arial"/>
          <w:b/>
          <w:i/>
          <w:color w:val="000000" w:themeColor="text1"/>
          <w:szCs w:val="16"/>
        </w:rPr>
        <w:t>.</w:t>
      </w:r>
    </w:p>
    <w:p w14:paraId="0FE901D9" w14:textId="490B580D" w:rsidR="008203B4" w:rsidRPr="00ED172B" w:rsidRDefault="00860830" w:rsidP="008203B4">
      <w:pPr>
        <w:rPr>
          <w:rFonts w:cs="Arial"/>
          <w:color w:val="000000" w:themeColor="text1"/>
          <w:szCs w:val="16"/>
        </w:rPr>
      </w:pPr>
      <w:r w:rsidRPr="00ED172B">
        <w:rPr>
          <w:rFonts w:cs="Arial"/>
          <w:color w:val="000000" w:themeColor="text1"/>
          <w:szCs w:val="16"/>
        </w:rPr>
        <w:t xml:space="preserve">Quarterly data reports for this indicator are generated from the TRAC data system. When a program was found to be at 100% for one (1) quarter based on the new data compiled, the program demonstrated it is implementing the requirements of this indicator for all children enrolled, and the program was provided written notification of correction of the identified noncompliance. Each program that was issued new findings were required to review their tracking processes for the eligible timeline to identify the underlying causes leading to non-compliance and to ensure compliance with the 45-day timeline. For the programs that have a finding of noncompliance for this indicator based on data for the first three (3) quarters as a part of IDEA Part C's monitoring process, the agency’s TRAC data for the fourth quarter of the year is used to verify correction. </w:t>
      </w:r>
      <w:r w:rsidRPr="00ED172B">
        <w:rPr>
          <w:rFonts w:cs="Arial"/>
          <w:color w:val="000000" w:themeColor="text1"/>
          <w:szCs w:val="16"/>
        </w:rPr>
        <w:br/>
      </w:r>
      <w:r w:rsidRPr="00ED172B">
        <w:rPr>
          <w:rFonts w:cs="Arial"/>
          <w:color w:val="000000" w:themeColor="text1"/>
          <w:szCs w:val="16"/>
        </w:rPr>
        <w:br/>
        <w:t>The IDEA Part C Office verified through desk audits and ongoing program reporting that the evaluation and assessment and an initial IFSP meeting were conducted, although late, for the children whose program had noncompliance. In FFY 2021, 123 individual child records across eleven (11) programs were issued findings of noncompliance. Quarterly data reviews revealed five (5) programs had timely correction at 100%, with all five (5) programs being issued letters of timely correction from IDEA Part C Office. One (1) program demonstrated subsequent correction and a letter of subsequent correction. Additional technical assistance was provided relative to the requirements of the 45-Day timeline requirement to ensure continued compliance is sustained.</w:t>
      </w:r>
      <w:r w:rsidRPr="00ED172B">
        <w:rPr>
          <w:rFonts w:cs="Arial"/>
          <w:color w:val="000000" w:themeColor="text1"/>
          <w:szCs w:val="16"/>
        </w:rPr>
        <w:br/>
      </w:r>
      <w:r w:rsidRPr="00ED172B">
        <w:rPr>
          <w:rFonts w:cs="Arial"/>
          <w:color w:val="000000" w:themeColor="text1"/>
          <w:szCs w:val="16"/>
        </w:rPr>
        <w:br/>
        <w:t xml:space="preserve">Of the five (5) programs without timely or subsequent correction, two (2) programs with a finding of non-compliance in this indicator terminated their service agreements (November 2022 and May 2023) prior to record verification and therefore correction cannot be verified. The remaining three (3) </w:t>
      </w:r>
      <w:r w:rsidRPr="00ED172B">
        <w:rPr>
          <w:rFonts w:cs="Arial"/>
          <w:color w:val="000000" w:themeColor="text1"/>
          <w:szCs w:val="16"/>
        </w:rPr>
        <w:lastRenderedPageBreak/>
        <w:t>programs have ongoing noncompliance and require a more in-depth analysis of the data to determine the underlying cause for the delay for children receiving timely evaluations and assessments and initial IFSP's within the required timeline.</w:t>
      </w:r>
    </w:p>
    <w:p w14:paraId="78F88C50" w14:textId="1D102F4C"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each </w:t>
      </w:r>
      <w:r w:rsidR="0031099B" w:rsidRPr="00ED172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14:paraId="722BD8E3" w14:textId="23E43957" w:rsidR="008203B4" w:rsidRDefault="00860830" w:rsidP="008203B4">
      <w:pPr>
        <w:rPr>
          <w:rFonts w:cs="Arial"/>
          <w:color w:val="000000" w:themeColor="text1"/>
          <w:szCs w:val="16"/>
        </w:rPr>
      </w:pPr>
      <w:r w:rsidRPr="00ED172B">
        <w:rPr>
          <w:rFonts w:cs="Arial"/>
          <w:color w:val="000000" w:themeColor="text1"/>
          <w:szCs w:val="16"/>
        </w:rPr>
        <w:t xml:space="preserve">The IDEA Part C Office pulls a data set for each quarter. If all children in that quarter have received their IFSP in a timely manner, then the program is 100% compliant. Quarterly data reports for this indicator are generated from the TRAC data system. New data reports generated in quarters </w:t>
      </w:r>
      <w:proofErr w:type="gramStart"/>
      <w:r w:rsidRPr="00ED172B">
        <w:rPr>
          <w:rFonts w:cs="Arial"/>
          <w:color w:val="000000" w:themeColor="text1"/>
          <w:szCs w:val="16"/>
        </w:rPr>
        <w:t>subsequent to</w:t>
      </w:r>
      <w:proofErr w:type="gramEnd"/>
      <w:r w:rsidRPr="00ED172B">
        <w:rPr>
          <w:rFonts w:cs="Arial"/>
          <w:color w:val="000000" w:themeColor="text1"/>
          <w:szCs w:val="16"/>
        </w:rPr>
        <w:t xml:space="preserve"> the issuing of the finding are reviewed. When a program was found to be at 100% for one (1) quarter based on the new data, the program demonstrated it is implementing the requirements of this indicator for all children enrolled, and the program was provided written notification of correction of the identified noncompliance. Each program that was issued new findings were required to review their tracking processes for the eligible timeline to identify the underlying causes leading of non-compliance and to ensure compliance with the 45-day timeline. For the programs that have a finding of noncompliance for this indicator based on data for the first three (3) quarters, the agency’s TRAC data for the fourth quarter of the year is used to verify correction.</w:t>
      </w:r>
      <w:r w:rsidRPr="00ED172B">
        <w:rPr>
          <w:rFonts w:cs="Arial"/>
          <w:color w:val="000000" w:themeColor="text1"/>
          <w:szCs w:val="16"/>
        </w:rPr>
        <w:br/>
      </w:r>
      <w:r w:rsidRPr="00ED172B">
        <w:rPr>
          <w:rFonts w:cs="Arial"/>
          <w:color w:val="000000" w:themeColor="text1"/>
          <w:szCs w:val="16"/>
        </w:rPr>
        <w:br/>
        <w:t xml:space="preserve">The IDEA Part C Office verified individual cases of noncompliance through desk audits and ongoing database reporting that IFSPs were initiated for each of the 123 individual children, although late. Correction could not be verified for each individual child because the 45-day timeline had already occurred. </w:t>
      </w:r>
    </w:p>
    <w:p w14:paraId="200B05A1" w14:textId="7365E091" w:rsidR="008203B4" w:rsidRPr="00ED172B" w:rsidRDefault="00CD74B5" w:rsidP="00B83404">
      <w:pPr>
        <w:rPr>
          <w:color w:val="000000" w:themeColor="text1"/>
        </w:rPr>
      </w:pPr>
      <w:r>
        <w:rPr>
          <w:b/>
          <w:color w:val="000000" w:themeColor="text1"/>
        </w:rPr>
        <w:t>FFY 2021 Findings of Noncompliance Not Yet Verified as Corrected</w:t>
      </w:r>
    </w:p>
    <w:p w14:paraId="61E3BC91" w14:textId="77777777" w:rsidR="008203B4" w:rsidRPr="00ED172B" w:rsidRDefault="008203B4" w:rsidP="008203B4">
      <w:pPr>
        <w:rPr>
          <w:rFonts w:cs="Arial"/>
          <w:b/>
          <w:color w:val="000000" w:themeColor="text1"/>
          <w:szCs w:val="16"/>
        </w:rPr>
      </w:pPr>
      <w:r w:rsidRPr="00ED172B">
        <w:rPr>
          <w:rFonts w:cs="Arial"/>
          <w:b/>
          <w:color w:val="000000" w:themeColor="text1"/>
          <w:szCs w:val="16"/>
        </w:rPr>
        <w:t>Actions taken if noncompliance not corrected</w:t>
      </w:r>
    </w:p>
    <w:p w14:paraId="78C5E0A9" w14:textId="159B9CDB" w:rsidR="008203B4" w:rsidRDefault="00860830" w:rsidP="008203B4">
      <w:pPr>
        <w:rPr>
          <w:rFonts w:cs="Arial"/>
          <w:color w:val="000000" w:themeColor="text1"/>
          <w:szCs w:val="16"/>
        </w:rPr>
      </w:pPr>
      <w:r w:rsidRPr="00ED172B">
        <w:rPr>
          <w:rFonts w:cs="Arial"/>
          <w:color w:val="000000" w:themeColor="text1"/>
          <w:szCs w:val="16"/>
        </w:rPr>
        <w:t>Of the five (5) programs without timely or subsequent correction, two (2) programs with a finding of non-compliance in this indicator terminated their service agreement in November 2022 and May 1, 2023, prior to record verification and therefore correction cannot be verified. The remaining three (3) programs have ongoing noncompliance and will require a more in-depth analysis of the data to determine the underlying cause for the delay for children receiving timely evaluations and assessments and initial IFSP's within the required timeline.</w:t>
      </w:r>
    </w:p>
    <w:p w14:paraId="32FC1C4C" w14:textId="266510C4" w:rsidR="008203B4" w:rsidRPr="00ED172B" w:rsidRDefault="008203B4"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shd w:val="clear" w:color="auto" w:fill="auto"/>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16F76534" w14:textId="0E40ECDF"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94" w:type="pct"/>
            <w:shd w:val="clear" w:color="auto" w:fill="auto"/>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shd w:val="clear" w:color="auto" w:fill="auto"/>
          </w:tcPr>
          <w:p w14:paraId="128A230A" w14:textId="50E2AC27" w:rsidR="008203B4" w:rsidRPr="00ED172B" w:rsidRDefault="008203B4" w:rsidP="00D21F29">
            <w:pPr>
              <w:jc w:val="center"/>
              <w:rPr>
                <w:rFonts w:cs="Arial"/>
                <w:color w:val="000000" w:themeColor="text1"/>
                <w:szCs w:val="16"/>
              </w:rPr>
            </w:pPr>
          </w:p>
        </w:tc>
        <w:tc>
          <w:tcPr>
            <w:tcW w:w="1399" w:type="pct"/>
            <w:shd w:val="clear" w:color="auto" w:fill="auto"/>
          </w:tcPr>
          <w:p w14:paraId="586EEE14" w14:textId="68B417D1" w:rsidR="008203B4" w:rsidRPr="00ED172B" w:rsidRDefault="008203B4" w:rsidP="00CD79C5">
            <w:pPr>
              <w:jc w:val="center"/>
              <w:rPr>
                <w:rFonts w:cs="Arial"/>
                <w:noProof/>
                <w:color w:val="000000" w:themeColor="text1"/>
                <w:szCs w:val="16"/>
              </w:rPr>
            </w:pPr>
          </w:p>
        </w:tc>
        <w:tc>
          <w:tcPr>
            <w:tcW w:w="1394" w:type="pct"/>
            <w:shd w:val="clear" w:color="auto" w:fill="auto"/>
          </w:tcPr>
          <w:p w14:paraId="32B05EFE" w14:textId="5D65EE73" w:rsidR="008203B4" w:rsidRPr="00ED172B" w:rsidRDefault="008203B4" w:rsidP="00CD79C5">
            <w:pPr>
              <w:jc w:val="center"/>
              <w:rPr>
                <w:rFonts w:cs="Arial"/>
                <w:noProof/>
                <w:color w:val="000000" w:themeColor="text1"/>
                <w:szCs w:val="16"/>
              </w:rPr>
            </w:pPr>
          </w:p>
        </w:tc>
        <w:tc>
          <w:tcPr>
            <w:tcW w:w="1307" w:type="pct"/>
            <w:shd w:val="clear" w:color="auto" w:fill="auto"/>
          </w:tcPr>
          <w:p w14:paraId="3338F511" w14:textId="15EAC72F" w:rsidR="008203B4" w:rsidRPr="00ED172B" w:rsidRDefault="008203B4" w:rsidP="00CD79C5">
            <w:pPr>
              <w:jc w:val="center"/>
              <w:rPr>
                <w:rFonts w:cs="Arial"/>
                <w:noProof/>
                <w:color w:val="000000" w:themeColor="text1"/>
                <w:szCs w:val="16"/>
              </w:rPr>
            </w:pPr>
          </w:p>
        </w:tc>
      </w:tr>
      <w:tr w:rsidR="00ED172B" w:rsidRPr="00ED172B" w14:paraId="744B3351" w14:textId="77777777" w:rsidTr="00986B99">
        <w:tc>
          <w:tcPr>
            <w:tcW w:w="899" w:type="pct"/>
            <w:shd w:val="clear" w:color="auto" w:fill="auto"/>
          </w:tcPr>
          <w:p w14:paraId="43DF4A1D" w14:textId="629DD993" w:rsidR="008203B4" w:rsidRPr="00ED172B" w:rsidRDefault="008203B4" w:rsidP="00D21F29">
            <w:pPr>
              <w:jc w:val="center"/>
              <w:rPr>
                <w:rFonts w:cs="Arial"/>
                <w:color w:val="000000" w:themeColor="text1"/>
                <w:szCs w:val="16"/>
              </w:rPr>
            </w:pPr>
          </w:p>
        </w:tc>
        <w:tc>
          <w:tcPr>
            <w:tcW w:w="1399" w:type="pct"/>
            <w:shd w:val="clear" w:color="auto" w:fill="auto"/>
          </w:tcPr>
          <w:p w14:paraId="682B1AF7" w14:textId="04856098" w:rsidR="008203B4" w:rsidRPr="00ED172B" w:rsidRDefault="008203B4" w:rsidP="00CD79C5">
            <w:pPr>
              <w:jc w:val="center"/>
              <w:rPr>
                <w:rFonts w:cs="Arial"/>
                <w:noProof/>
                <w:color w:val="000000" w:themeColor="text1"/>
                <w:szCs w:val="16"/>
              </w:rPr>
            </w:pPr>
          </w:p>
        </w:tc>
        <w:tc>
          <w:tcPr>
            <w:tcW w:w="1394" w:type="pct"/>
            <w:shd w:val="clear" w:color="auto" w:fill="auto"/>
          </w:tcPr>
          <w:p w14:paraId="58B66D2A" w14:textId="5E2142F5" w:rsidR="008203B4" w:rsidRPr="00ED172B" w:rsidRDefault="008203B4" w:rsidP="00CD79C5">
            <w:pPr>
              <w:jc w:val="center"/>
              <w:rPr>
                <w:rFonts w:cs="Arial"/>
                <w:noProof/>
                <w:color w:val="000000" w:themeColor="text1"/>
                <w:szCs w:val="16"/>
              </w:rPr>
            </w:pPr>
          </w:p>
        </w:tc>
        <w:tc>
          <w:tcPr>
            <w:tcW w:w="1307" w:type="pct"/>
            <w:shd w:val="clear" w:color="auto" w:fill="auto"/>
          </w:tcPr>
          <w:p w14:paraId="6986D2A0" w14:textId="0E05F3E2" w:rsidR="008203B4" w:rsidRPr="00ED172B" w:rsidRDefault="008203B4" w:rsidP="00CD79C5">
            <w:pPr>
              <w:jc w:val="center"/>
              <w:rPr>
                <w:rFonts w:cs="Arial"/>
                <w:noProof/>
                <w:color w:val="000000" w:themeColor="text1"/>
                <w:szCs w:val="16"/>
              </w:rPr>
            </w:pPr>
          </w:p>
        </w:tc>
      </w:tr>
      <w:tr w:rsidR="00ED172B" w:rsidRPr="00ED172B" w14:paraId="62EEE336" w14:textId="77777777" w:rsidTr="00986B99">
        <w:tc>
          <w:tcPr>
            <w:tcW w:w="899" w:type="pct"/>
            <w:shd w:val="clear" w:color="auto" w:fill="auto"/>
          </w:tcPr>
          <w:p w14:paraId="03FC998C" w14:textId="17CC0145" w:rsidR="008203B4" w:rsidRPr="00ED172B" w:rsidRDefault="008203B4" w:rsidP="00D21F29">
            <w:pPr>
              <w:jc w:val="center"/>
              <w:rPr>
                <w:rFonts w:cs="Arial"/>
                <w:color w:val="000000" w:themeColor="text1"/>
                <w:szCs w:val="16"/>
              </w:rPr>
            </w:pPr>
          </w:p>
        </w:tc>
        <w:tc>
          <w:tcPr>
            <w:tcW w:w="1399" w:type="pct"/>
            <w:shd w:val="clear" w:color="auto" w:fill="auto"/>
          </w:tcPr>
          <w:p w14:paraId="0C9B51BA" w14:textId="69C64714" w:rsidR="008203B4" w:rsidRPr="00ED172B" w:rsidRDefault="008203B4" w:rsidP="00CD79C5">
            <w:pPr>
              <w:jc w:val="center"/>
              <w:rPr>
                <w:rFonts w:cs="Arial"/>
                <w:noProof/>
                <w:color w:val="000000" w:themeColor="text1"/>
                <w:szCs w:val="16"/>
              </w:rPr>
            </w:pPr>
          </w:p>
        </w:tc>
        <w:tc>
          <w:tcPr>
            <w:tcW w:w="1394" w:type="pct"/>
            <w:shd w:val="clear" w:color="auto" w:fill="auto"/>
          </w:tcPr>
          <w:p w14:paraId="3D9AF315" w14:textId="35A24922" w:rsidR="008203B4" w:rsidRPr="00ED172B" w:rsidRDefault="008203B4" w:rsidP="00CD79C5">
            <w:pPr>
              <w:jc w:val="center"/>
              <w:rPr>
                <w:rFonts w:cs="Arial"/>
                <w:noProof/>
                <w:color w:val="000000" w:themeColor="text1"/>
                <w:szCs w:val="16"/>
              </w:rPr>
            </w:pPr>
          </w:p>
        </w:tc>
        <w:tc>
          <w:tcPr>
            <w:tcW w:w="1307" w:type="pct"/>
            <w:shd w:val="clear" w:color="auto" w:fill="auto"/>
          </w:tcPr>
          <w:p w14:paraId="7C6C5467" w14:textId="7AD30721" w:rsidR="008203B4" w:rsidRPr="00ED172B" w:rsidRDefault="008203B4" w:rsidP="00CD79C5">
            <w:pPr>
              <w:jc w:val="center"/>
              <w:rPr>
                <w:rFonts w:cs="Arial"/>
                <w:noProof/>
                <w:color w:val="000000" w:themeColor="text1"/>
                <w:szCs w:val="16"/>
              </w:rPr>
            </w:pPr>
          </w:p>
        </w:tc>
      </w:tr>
      <w:tr w:rsidR="00DE328D" w:rsidRPr="00ED172B" w14:paraId="37EAC70D" w14:textId="77777777" w:rsidTr="00986B99">
        <w:tc>
          <w:tcPr>
            <w:tcW w:w="899" w:type="pct"/>
            <w:shd w:val="clear" w:color="auto" w:fill="auto"/>
          </w:tcPr>
          <w:p w14:paraId="6C4A41C4" w14:textId="01E82ED5" w:rsidR="00DE328D" w:rsidRPr="00ED172B" w:rsidRDefault="00DE328D" w:rsidP="00D21F29">
            <w:pPr>
              <w:jc w:val="center"/>
              <w:rPr>
                <w:rFonts w:cs="Arial"/>
                <w:color w:val="000000" w:themeColor="text1"/>
                <w:szCs w:val="16"/>
              </w:rPr>
            </w:pPr>
          </w:p>
        </w:tc>
        <w:tc>
          <w:tcPr>
            <w:tcW w:w="1399" w:type="pct"/>
            <w:shd w:val="clear" w:color="auto" w:fill="auto"/>
          </w:tcPr>
          <w:p w14:paraId="77C9F595" w14:textId="34715600" w:rsidR="00DE328D" w:rsidRPr="00ED172B" w:rsidRDefault="00DE328D" w:rsidP="00DE328D">
            <w:pPr>
              <w:jc w:val="center"/>
              <w:rPr>
                <w:rFonts w:cs="Arial"/>
                <w:color w:val="000000" w:themeColor="text1"/>
                <w:szCs w:val="16"/>
              </w:rPr>
            </w:pPr>
          </w:p>
        </w:tc>
        <w:tc>
          <w:tcPr>
            <w:tcW w:w="1394" w:type="pct"/>
            <w:shd w:val="clear" w:color="auto" w:fill="auto"/>
          </w:tcPr>
          <w:p w14:paraId="19DF5F39" w14:textId="56F991D4" w:rsidR="00DE328D" w:rsidRPr="00ED172B" w:rsidRDefault="00DE328D" w:rsidP="00DE328D">
            <w:pPr>
              <w:jc w:val="center"/>
              <w:rPr>
                <w:rFonts w:cs="Arial"/>
                <w:color w:val="000000" w:themeColor="text1"/>
                <w:szCs w:val="16"/>
              </w:rPr>
            </w:pPr>
          </w:p>
        </w:tc>
        <w:tc>
          <w:tcPr>
            <w:tcW w:w="1307" w:type="pct"/>
            <w:shd w:val="clear" w:color="auto" w:fill="auto"/>
          </w:tcPr>
          <w:p w14:paraId="2954DE8E" w14:textId="1B7BB7AE" w:rsidR="00DE328D" w:rsidRPr="00ED172B" w:rsidRDefault="00DE328D" w:rsidP="00DE328D">
            <w:pPr>
              <w:jc w:val="center"/>
              <w:rPr>
                <w:rFonts w:cs="Arial"/>
                <w:color w:val="000000" w:themeColor="text1"/>
                <w:szCs w:val="16"/>
              </w:rPr>
            </w:pPr>
          </w:p>
        </w:tc>
      </w:tr>
      <w:tr w:rsidR="00DE328D" w:rsidRPr="00ED172B" w14:paraId="3205E0F1" w14:textId="77777777" w:rsidTr="00986B99">
        <w:tc>
          <w:tcPr>
            <w:tcW w:w="899" w:type="pct"/>
            <w:shd w:val="clear" w:color="auto" w:fill="auto"/>
          </w:tcPr>
          <w:p w14:paraId="304EA88F" w14:textId="5291E613" w:rsidR="00DE328D" w:rsidRPr="00ED172B" w:rsidRDefault="00DE328D" w:rsidP="00D21F29">
            <w:pPr>
              <w:jc w:val="center"/>
              <w:rPr>
                <w:rFonts w:cs="Arial"/>
                <w:color w:val="000000" w:themeColor="text1"/>
                <w:szCs w:val="16"/>
              </w:rPr>
            </w:pPr>
          </w:p>
        </w:tc>
        <w:tc>
          <w:tcPr>
            <w:tcW w:w="1399" w:type="pct"/>
            <w:shd w:val="clear" w:color="auto" w:fill="auto"/>
          </w:tcPr>
          <w:p w14:paraId="54A53497" w14:textId="232A2A7D" w:rsidR="00DE328D" w:rsidRPr="00ED172B" w:rsidRDefault="00DE328D" w:rsidP="00DE328D">
            <w:pPr>
              <w:jc w:val="center"/>
              <w:rPr>
                <w:rFonts w:cs="Arial"/>
                <w:color w:val="000000" w:themeColor="text1"/>
                <w:szCs w:val="16"/>
              </w:rPr>
            </w:pPr>
          </w:p>
        </w:tc>
        <w:tc>
          <w:tcPr>
            <w:tcW w:w="1394" w:type="pct"/>
            <w:shd w:val="clear" w:color="auto" w:fill="auto"/>
          </w:tcPr>
          <w:p w14:paraId="60DF5900" w14:textId="7E0E7098" w:rsidR="00DE328D" w:rsidRPr="00ED172B" w:rsidRDefault="00DE328D" w:rsidP="00DE328D">
            <w:pPr>
              <w:jc w:val="center"/>
              <w:rPr>
                <w:rFonts w:cs="Arial"/>
                <w:color w:val="000000" w:themeColor="text1"/>
                <w:szCs w:val="16"/>
              </w:rPr>
            </w:pPr>
          </w:p>
        </w:tc>
        <w:tc>
          <w:tcPr>
            <w:tcW w:w="1307" w:type="pct"/>
            <w:shd w:val="clear" w:color="auto" w:fill="auto"/>
          </w:tcPr>
          <w:p w14:paraId="73662E29" w14:textId="2A7774EF" w:rsidR="00DE328D" w:rsidRPr="00ED172B" w:rsidRDefault="00DE328D" w:rsidP="00DE328D">
            <w:pPr>
              <w:jc w:val="center"/>
              <w:rPr>
                <w:rFonts w:cs="Arial"/>
                <w:color w:val="000000" w:themeColor="text1"/>
                <w:szCs w:val="16"/>
              </w:rPr>
            </w:pPr>
          </w:p>
        </w:tc>
      </w:tr>
    </w:tbl>
    <w:p w14:paraId="0F22F40D" w14:textId="77777777" w:rsidR="00DE328D" w:rsidRPr="00ED172B" w:rsidRDefault="00DE328D">
      <w:pPr>
        <w:rPr>
          <w:color w:val="000000" w:themeColor="text1"/>
        </w:rPr>
      </w:pPr>
    </w:p>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4F1F97B2" w14:textId="6BCBED4B" w:rsidR="008203B4" w:rsidRPr="00ED172B" w:rsidRDefault="008203B4" w:rsidP="00B83404">
      <w:pPr>
        <w:rPr>
          <w:color w:val="000000" w:themeColor="text1"/>
        </w:rPr>
      </w:pPr>
      <w:r w:rsidRPr="00ED172B">
        <w:rPr>
          <w:b/>
          <w:color w:val="000000" w:themeColor="text1"/>
        </w:rPr>
        <w:t>Response to actions required in FFY 2021 SPP/APR</w:t>
      </w:r>
    </w:p>
    <w:p w14:paraId="6341AF1F" w14:textId="0B05114A" w:rsidR="004C1CEE" w:rsidRPr="00ED172B" w:rsidRDefault="004C1CEE" w:rsidP="00027F39">
      <w:pPr>
        <w:rPr>
          <w:color w:val="000000" w:themeColor="text1"/>
        </w:rPr>
      </w:pP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8203B4" w:rsidP="00320806">
      <w:pPr>
        <w:rPr>
          <w:color w:val="000000" w:themeColor="text1"/>
        </w:rPr>
      </w:pP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320806" w:rsidP="00320806">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In addition, the State must demonstrate, in the FFY 2023 SPP/APR, that the remaining five uncorrected findings of noncompliance identified in FFY 2021 were corrected. When reporting on the correction of noncompliance, the State must report, in the FFY 2023 SPP/APR, that it has verified that each EIS program or provider with findings of noncompliance identified in FFY 2022 and each EIS program or provider with remaining noncompliance identified in FFY 2021: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1"/>
    </w:p>
    <w:p w14:paraId="530F89E6" w14:textId="77777777" w:rsidR="00F51610" w:rsidRPr="00ED172B" w:rsidRDefault="00F51610" w:rsidP="00186420">
      <w:pPr>
        <w:rPr>
          <w:color w:val="000000" w:themeColor="text1"/>
          <w:szCs w:val="20"/>
        </w:rPr>
      </w:pPr>
      <w:bookmarkStart w:id="43"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4" w:name="_Hlk25310256"/>
      <w:r w:rsidR="00616172" w:rsidRPr="00ED172B">
        <w:rPr>
          <w:color w:val="000000" w:themeColor="text1"/>
          <w:szCs w:val="16"/>
        </w:rPr>
        <w:t>Effective Transition</w:t>
      </w:r>
      <w:bookmarkEnd w:id="44"/>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 xml:space="preserve">A. Developed an IFSP with transition steps and services at least 90 days, and at the discretion of all parties, not more than nine months, prior to the toddler’s third </w:t>
      </w:r>
      <w:proofErr w:type="gramStart"/>
      <w:r w:rsidRPr="00ED172B">
        <w:rPr>
          <w:color w:val="000000" w:themeColor="text1"/>
          <w:szCs w:val="16"/>
        </w:rPr>
        <w:t>birthday;</w:t>
      </w:r>
      <w:proofErr w:type="gramEnd"/>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15228B56"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 xml:space="preserve">Indicators 8A and 8C: If data are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77777777" w:rsidR="00AD77EF" w:rsidRPr="00ED172B"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4207A88"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F4C204A" w14:textId="77777777" w:rsidR="00AD77EF" w:rsidRPr="00ED172B" w:rsidRDefault="00AD77EF" w:rsidP="008E7B96">
      <w:pPr>
        <w:rPr>
          <w:color w:val="000000" w:themeColor="text1"/>
          <w:szCs w:val="16"/>
        </w:rPr>
      </w:pPr>
      <w:r w:rsidRPr="00ED172B">
        <w:rPr>
          <w:color w:val="000000" w:themeColor="text1"/>
          <w:szCs w:val="16"/>
        </w:rPr>
        <w:t xml:space="preserve">Indicator 8C: Do not include in the </w:t>
      </w:r>
      <w:proofErr w:type="gramStart"/>
      <w:r w:rsidRPr="00ED172B">
        <w:rPr>
          <w:color w:val="000000" w:themeColor="text1"/>
          <w:szCs w:val="16"/>
        </w:rPr>
        <w:t>calculation, but</w:t>
      </w:r>
      <w:proofErr w:type="gramEnd"/>
      <w:r w:rsidRPr="00ED172B">
        <w:rPr>
          <w:color w:val="000000" w:themeColor="text1"/>
          <w:szCs w:val="16"/>
        </w:rPr>
        <w:t xml:space="preserve"> provide a separate number for those toddlers for whom the parent did not provide approval for the transition conference.</w:t>
      </w:r>
    </w:p>
    <w:p w14:paraId="667F7D63" w14:textId="242885CC" w:rsidR="00AD77EF" w:rsidRPr="00ED172B" w:rsidRDefault="00AD77EF" w:rsidP="008E7B96">
      <w:pPr>
        <w:rPr>
          <w:color w:val="000000" w:themeColor="text1"/>
          <w:szCs w:val="16"/>
        </w:rPr>
      </w:pPr>
      <w:r w:rsidRPr="00ED172B">
        <w:rPr>
          <w:color w:val="000000" w:themeColor="text1"/>
          <w:szCs w:val="16"/>
        </w:rPr>
        <w:t xml:space="preserve">Indicators 8A, 8B, and 8C: Provide detailed information about the timely correction of </w:t>
      </w:r>
      <w:r w:rsidR="00CF4EC7" w:rsidRPr="00D21F29">
        <w:rPr>
          <w:color w:val="000000" w:themeColor="text1"/>
          <w:szCs w:val="16"/>
        </w:rPr>
        <w:t>child-specific and regulatory/systemic</w:t>
      </w:r>
      <w:r w:rsidR="00CF4EC7" w:rsidRPr="00ED172B">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0C7E34A7" w:rsidR="00A639B7" w:rsidRPr="00ED172B"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7D72C9" w14:textId="61BA321B" w:rsidR="00D30AF1" w:rsidRPr="00A40EE1" w:rsidRDefault="000D0117" w:rsidP="007B0787">
      <w:pPr>
        <w:pStyle w:val="Heading2"/>
      </w:pPr>
      <w:bookmarkStart w:id="45" w:name="_Toc386209669"/>
      <w:bookmarkEnd w:id="43"/>
      <w:r w:rsidRPr="00A40EE1">
        <w:t xml:space="preserve">8A - </w:t>
      </w:r>
      <w:r w:rsidR="00D30AF1" w:rsidRPr="00A40EE1">
        <w:t>Indicator</w:t>
      </w:r>
      <w:r w:rsidR="000C5918" w:rsidRPr="00A40EE1">
        <w:t xml:space="preserve"> Data</w:t>
      </w:r>
    </w:p>
    <w:bookmarkEnd w:id="45"/>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01FC8539" w14:textId="77777777" w:rsidTr="00A40EE1">
        <w:trPr>
          <w:trHeight w:val="350"/>
          <w:tblHeader/>
        </w:trPr>
        <w:tc>
          <w:tcPr>
            <w:tcW w:w="4185" w:type="pct"/>
            <w:tcBorders>
              <w:bottom w:val="single" w:sz="4" w:space="0" w:color="auto"/>
            </w:tcBorders>
            <w:shd w:val="clear" w:color="auto" w:fill="auto"/>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shd w:val="clear" w:color="auto" w:fill="auto"/>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shd w:val="clear" w:color="auto" w:fill="auto"/>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shd w:val="clear" w:color="auto" w:fill="auto"/>
            <w:vAlign w:val="center"/>
          </w:tcPr>
          <w:p w14:paraId="4E589392" w14:textId="3D95CEBC" w:rsidR="00C25621" w:rsidRPr="00ED172B" w:rsidRDefault="00C25621" w:rsidP="00C15786">
            <w:pPr>
              <w:jc w:val="center"/>
              <w:rPr>
                <w:color w:val="000000" w:themeColor="text1"/>
              </w:rPr>
            </w:pPr>
            <w:r w:rsidRPr="00ED172B">
              <w:rPr>
                <w:color w:val="000000" w:themeColor="text1"/>
              </w:rPr>
              <w:t>85.71%</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49BAF88D" w14:textId="77777777" w:rsidTr="00A40EE1">
        <w:trPr>
          <w:trHeight w:val="350"/>
        </w:trPr>
        <w:tc>
          <w:tcPr>
            <w:tcW w:w="317" w:type="pct"/>
            <w:tcBorders>
              <w:bottom w:val="single" w:sz="4" w:space="0" w:color="auto"/>
            </w:tcBorders>
            <w:shd w:val="clear" w:color="auto" w:fill="auto"/>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72A41C4C" w14:textId="77777777" w:rsidTr="00A40EE1">
        <w:trPr>
          <w:trHeight w:val="357"/>
        </w:trPr>
        <w:tc>
          <w:tcPr>
            <w:tcW w:w="317" w:type="pct"/>
            <w:shd w:val="clear" w:color="auto" w:fill="auto"/>
          </w:tcPr>
          <w:p w14:paraId="24DE0713" w14:textId="6F5CD266"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shd w:val="clear" w:color="auto" w:fill="auto"/>
          </w:tcPr>
          <w:p w14:paraId="1CDE7165"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97.98%</w:t>
            </w:r>
          </w:p>
        </w:tc>
        <w:tc>
          <w:tcPr>
            <w:tcW w:w="937" w:type="pct"/>
            <w:tcBorders>
              <w:bottom w:val="single" w:sz="4" w:space="0" w:color="auto"/>
            </w:tcBorders>
            <w:shd w:val="clear" w:color="auto" w:fill="auto"/>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Not Valid and Reliable</w:t>
            </w:r>
          </w:p>
        </w:tc>
        <w:tc>
          <w:tcPr>
            <w:tcW w:w="937" w:type="pct"/>
            <w:tcBorders>
              <w:bottom w:val="single" w:sz="4" w:space="0" w:color="auto"/>
            </w:tcBorders>
            <w:shd w:val="clear" w:color="auto" w:fill="auto"/>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93.51%</w:t>
            </w:r>
          </w:p>
        </w:tc>
        <w:tc>
          <w:tcPr>
            <w:tcW w:w="937" w:type="pct"/>
            <w:tcBorders>
              <w:bottom w:val="single" w:sz="4" w:space="0" w:color="auto"/>
            </w:tcBorders>
            <w:shd w:val="clear" w:color="auto" w:fill="auto"/>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98.39%</w:t>
            </w:r>
          </w:p>
        </w:tc>
        <w:tc>
          <w:tcPr>
            <w:tcW w:w="937" w:type="pct"/>
            <w:tcBorders>
              <w:bottom w:val="single" w:sz="4" w:space="0" w:color="auto"/>
            </w:tcBorders>
            <w:shd w:val="clear" w:color="auto" w:fill="auto"/>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96.77%</w:t>
            </w:r>
          </w:p>
        </w:tc>
      </w:tr>
    </w:tbl>
    <w:p w14:paraId="52279886"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1911"/>
        <w:gridCol w:w="2042"/>
        <w:gridCol w:w="2042"/>
        <w:gridCol w:w="2042"/>
      </w:tblGrid>
      <w:tr w:rsidR="00C843AF" w:rsidRPr="00ED172B" w14:paraId="05C3EE9D" w14:textId="0A135A6E" w:rsidTr="00E415ED">
        <w:trPr>
          <w:trHeight w:val="259"/>
        </w:trPr>
        <w:tc>
          <w:tcPr>
            <w:tcW w:w="318" w:type="pct"/>
            <w:tcBorders>
              <w:bottom w:val="single" w:sz="4" w:space="0" w:color="auto"/>
            </w:tcBorders>
            <w:shd w:val="clear" w:color="auto" w:fill="auto"/>
          </w:tcPr>
          <w:p w14:paraId="3665F13E" w14:textId="77777777" w:rsidR="00C843AF" w:rsidRPr="00ED172B" w:rsidRDefault="00C843AF" w:rsidP="00B268B5">
            <w:pPr>
              <w:jc w:val="center"/>
              <w:rPr>
                <w:b/>
                <w:color w:val="000000" w:themeColor="text1"/>
                <w:szCs w:val="16"/>
              </w:rPr>
            </w:pPr>
            <w:r w:rsidRPr="00ED172B">
              <w:rPr>
                <w:b/>
                <w:color w:val="000000" w:themeColor="text1"/>
                <w:szCs w:val="16"/>
              </w:rPr>
              <w:t>FFY</w:t>
            </w:r>
          </w:p>
        </w:tc>
        <w:tc>
          <w:tcPr>
            <w:tcW w:w="1114" w:type="pct"/>
            <w:shd w:val="clear" w:color="auto" w:fill="auto"/>
            <w:vAlign w:val="center"/>
          </w:tcPr>
          <w:p w14:paraId="7FE4AA04" w14:textId="595FC7A1" w:rsidR="00C843AF" w:rsidRPr="00ED172B" w:rsidRDefault="00C843AF" w:rsidP="00B268B5">
            <w:pPr>
              <w:jc w:val="center"/>
              <w:rPr>
                <w:b/>
                <w:color w:val="000000" w:themeColor="text1"/>
                <w:szCs w:val="16"/>
              </w:rPr>
            </w:pPr>
            <w:r w:rsidRPr="00ED172B">
              <w:rPr>
                <w:rFonts w:cs="Arial"/>
                <w:b/>
                <w:color w:val="000000" w:themeColor="text1"/>
                <w:szCs w:val="16"/>
              </w:rPr>
              <w:t>2022</w:t>
            </w:r>
          </w:p>
        </w:tc>
        <w:tc>
          <w:tcPr>
            <w:tcW w:w="1189" w:type="pct"/>
          </w:tcPr>
          <w:p w14:paraId="2380F080" w14:textId="41CA4895" w:rsidR="00C843AF" w:rsidRPr="00ED172B" w:rsidRDefault="00C843AF" w:rsidP="00B268B5">
            <w:pPr>
              <w:jc w:val="center"/>
              <w:rPr>
                <w:rFonts w:cs="Arial"/>
                <w:b/>
                <w:color w:val="000000" w:themeColor="text1"/>
                <w:szCs w:val="16"/>
              </w:rPr>
            </w:pPr>
            <w:r>
              <w:rPr>
                <w:rFonts w:cs="Arial"/>
                <w:b/>
                <w:color w:val="000000" w:themeColor="text1"/>
                <w:szCs w:val="16"/>
              </w:rPr>
              <w:t>2023</w:t>
            </w:r>
          </w:p>
        </w:tc>
        <w:tc>
          <w:tcPr>
            <w:tcW w:w="1189" w:type="pct"/>
          </w:tcPr>
          <w:p w14:paraId="24971D5E" w14:textId="084F5872" w:rsidR="00C843AF" w:rsidRPr="00ED172B" w:rsidRDefault="00C843AF" w:rsidP="00B268B5">
            <w:pPr>
              <w:jc w:val="center"/>
              <w:rPr>
                <w:rFonts w:cs="Arial"/>
                <w:b/>
                <w:color w:val="000000" w:themeColor="text1"/>
                <w:szCs w:val="16"/>
              </w:rPr>
            </w:pPr>
            <w:r w:rsidRPr="005A1B4F">
              <w:rPr>
                <w:rFonts w:cs="Arial"/>
                <w:b/>
                <w:color w:val="000000" w:themeColor="text1"/>
                <w:szCs w:val="16"/>
              </w:rPr>
              <w:t>2024</w:t>
            </w:r>
          </w:p>
        </w:tc>
        <w:tc>
          <w:tcPr>
            <w:tcW w:w="1189" w:type="pct"/>
          </w:tcPr>
          <w:p w14:paraId="544E61D5" w14:textId="6700B87F" w:rsidR="00C843AF" w:rsidRPr="00ED172B" w:rsidRDefault="00C843AF" w:rsidP="00B268B5">
            <w:pPr>
              <w:jc w:val="center"/>
              <w:rPr>
                <w:rFonts w:cs="Arial"/>
                <w:b/>
                <w:color w:val="000000" w:themeColor="text1"/>
                <w:szCs w:val="16"/>
              </w:rPr>
            </w:pPr>
            <w:r w:rsidRPr="005A1B4F">
              <w:rPr>
                <w:rFonts w:cs="Arial"/>
                <w:b/>
                <w:color w:val="000000" w:themeColor="text1"/>
                <w:szCs w:val="16"/>
              </w:rPr>
              <w:t>2025</w:t>
            </w:r>
          </w:p>
        </w:tc>
      </w:tr>
      <w:tr w:rsidR="00C843AF" w:rsidRPr="00ED172B" w14:paraId="4D4A7670" w14:textId="63A571E3" w:rsidTr="00E415ED">
        <w:trPr>
          <w:trHeight w:val="264"/>
        </w:trPr>
        <w:tc>
          <w:tcPr>
            <w:tcW w:w="318" w:type="pct"/>
            <w:shd w:val="clear" w:color="auto" w:fill="auto"/>
          </w:tcPr>
          <w:p w14:paraId="48A5A68C"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4" w:type="pct"/>
            <w:shd w:val="clear" w:color="auto" w:fill="auto"/>
          </w:tcPr>
          <w:p w14:paraId="15F32B75" w14:textId="1AD070A4" w:rsidR="00C843AF" w:rsidRPr="00ED172B" w:rsidRDefault="00C843AF" w:rsidP="00B268B5">
            <w:pPr>
              <w:jc w:val="center"/>
              <w:rPr>
                <w:color w:val="000000" w:themeColor="text1"/>
                <w:szCs w:val="16"/>
              </w:rPr>
            </w:pPr>
            <w:r w:rsidRPr="00ED172B">
              <w:rPr>
                <w:color w:val="000000" w:themeColor="text1"/>
                <w:szCs w:val="16"/>
              </w:rPr>
              <w:t>100%</w:t>
            </w:r>
          </w:p>
        </w:tc>
        <w:tc>
          <w:tcPr>
            <w:tcW w:w="1189" w:type="pct"/>
          </w:tcPr>
          <w:p w14:paraId="5D0EEB3A" w14:textId="61EE92E1" w:rsidR="00C843AF" w:rsidRPr="00ED172B" w:rsidRDefault="00C843AF" w:rsidP="00B268B5">
            <w:pPr>
              <w:jc w:val="center"/>
              <w:rPr>
                <w:color w:val="000000" w:themeColor="text1"/>
                <w:szCs w:val="16"/>
              </w:rPr>
            </w:pPr>
            <w:r>
              <w:rPr>
                <w:rFonts w:cs="Arial"/>
                <w:color w:val="000000" w:themeColor="text1"/>
                <w:szCs w:val="16"/>
              </w:rPr>
              <w:t>100%</w:t>
            </w:r>
          </w:p>
        </w:tc>
        <w:tc>
          <w:tcPr>
            <w:tcW w:w="1189" w:type="pct"/>
          </w:tcPr>
          <w:p w14:paraId="20630124" w14:textId="5FC6C8E6" w:rsidR="00C843AF" w:rsidRPr="00ED172B" w:rsidRDefault="00C843AF" w:rsidP="00B268B5">
            <w:pPr>
              <w:jc w:val="center"/>
              <w:rPr>
                <w:color w:val="000000" w:themeColor="text1"/>
                <w:szCs w:val="16"/>
              </w:rPr>
            </w:pPr>
            <w:r w:rsidRPr="005F5F3C">
              <w:rPr>
                <w:rFonts w:cs="Arial"/>
                <w:color w:val="000000" w:themeColor="text1"/>
                <w:szCs w:val="16"/>
              </w:rPr>
              <w:t>100%</w:t>
            </w:r>
          </w:p>
        </w:tc>
        <w:tc>
          <w:tcPr>
            <w:tcW w:w="1189" w:type="pct"/>
          </w:tcPr>
          <w:p w14:paraId="112F793B" w14:textId="19608CCF" w:rsidR="00C843AF" w:rsidRPr="00B268B5" w:rsidRDefault="00C843AF" w:rsidP="00B268B5">
            <w:pPr>
              <w:jc w:val="center"/>
              <w:rPr>
                <w:rFonts w:cs="Arial"/>
                <w:color w:val="000000" w:themeColor="text1"/>
                <w:szCs w:val="16"/>
              </w:rPr>
            </w:pPr>
            <w:r w:rsidRPr="005F5F3C">
              <w:rPr>
                <w:rFonts w:cs="Arial"/>
                <w:color w:val="000000" w:themeColor="text1"/>
                <w:szCs w:val="16"/>
              </w:rPr>
              <w:t>100%</w:t>
            </w:r>
          </w:p>
        </w:tc>
      </w:tr>
    </w:tbl>
    <w:p w14:paraId="31F20CDA" w14:textId="60B6AACE" w:rsidR="008E7B96" w:rsidRPr="00ED172B" w:rsidRDefault="00F22D09">
      <w:pPr>
        <w:rPr>
          <w:b/>
          <w:color w:val="000000" w:themeColor="text1"/>
        </w:rPr>
      </w:pPr>
      <w:r>
        <w:rPr>
          <w:b/>
          <w:color w:val="000000" w:themeColor="text1"/>
        </w:rPr>
        <w:t>FFY 2022 SPP/APR Data</w:t>
      </w:r>
    </w:p>
    <w:p w14:paraId="063239BF" w14:textId="1264AE65" w:rsidR="00E440C8" w:rsidRPr="00ED172B" w:rsidRDefault="00E440C8">
      <w:pPr>
        <w:rPr>
          <w:rFonts w:cs="Arial"/>
          <w:b/>
          <w:color w:val="000000" w:themeColor="text1"/>
          <w:szCs w:val="16"/>
        </w:rPr>
      </w:pPr>
      <w:r w:rsidRPr="00ED172B">
        <w:rPr>
          <w:rFonts w:cs="Arial"/>
          <w:b/>
          <w:color w:val="000000" w:themeColor="text1"/>
          <w:szCs w:val="16"/>
        </w:rPr>
        <w:t>Data include only those toddlers with disabilities exiting Part C with timely transition planning for whom the Lead Agency has developed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shd w:val="clear" w:color="auto" w:fill="auto"/>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14:paraId="7032C738" w14:textId="5AC38D42" w:rsidR="00F939F8" w:rsidRPr="00ED172B" w:rsidRDefault="00CD74B5" w:rsidP="00F939F8">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14:paraId="6711AE0C" w14:textId="1B0EF073" w:rsidR="00F939F8" w:rsidRPr="00ED172B" w:rsidRDefault="00F22D09" w:rsidP="00F939F8">
            <w:pPr>
              <w:jc w:val="center"/>
              <w:rPr>
                <w:rFonts w:cs="Arial"/>
                <w:b/>
                <w:color w:val="000000" w:themeColor="text1"/>
                <w:szCs w:val="16"/>
              </w:rPr>
            </w:pPr>
            <w:r>
              <w:rPr>
                <w:rFonts w:cs="Arial"/>
                <w:b/>
                <w:color w:val="000000" w:themeColor="text1"/>
                <w:szCs w:val="16"/>
              </w:rPr>
              <w:t>FFY 2022 Target</w:t>
            </w:r>
          </w:p>
        </w:tc>
        <w:tc>
          <w:tcPr>
            <w:tcW w:w="584" w:type="pct"/>
            <w:shd w:val="clear" w:color="auto" w:fill="auto"/>
            <w:vAlign w:val="bottom"/>
          </w:tcPr>
          <w:p w14:paraId="2C4EE232" w14:textId="272B2C98" w:rsidR="00F939F8" w:rsidRPr="00ED172B" w:rsidRDefault="00F22D09" w:rsidP="00F939F8">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shd w:val="clear" w:color="auto" w:fill="auto"/>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63</w:t>
            </w:r>
          </w:p>
        </w:tc>
        <w:tc>
          <w:tcPr>
            <w:tcW w:w="875" w:type="pct"/>
            <w:shd w:val="clear" w:color="auto" w:fill="auto"/>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63</w:t>
            </w:r>
          </w:p>
        </w:tc>
        <w:tc>
          <w:tcPr>
            <w:tcW w:w="625" w:type="pct"/>
            <w:shd w:val="clear" w:color="auto" w:fill="auto"/>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96.77%</w:t>
            </w:r>
          </w:p>
        </w:tc>
        <w:tc>
          <w:tcPr>
            <w:tcW w:w="542" w:type="pct"/>
            <w:shd w:val="clear" w:color="auto" w:fill="auto"/>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shd w:val="clear" w:color="auto" w:fill="auto"/>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tcPr>
          <w:p w14:paraId="6EB785D3" w14:textId="6A67BD93" w:rsidR="00F939F8" w:rsidRPr="00ED172B" w:rsidRDefault="00320806" w:rsidP="00320806">
            <w:pPr>
              <w:jc w:val="center"/>
              <w:rPr>
                <w:color w:val="000000" w:themeColor="text1"/>
              </w:rPr>
            </w:pPr>
            <w:r w:rsidRPr="00ED172B">
              <w:rPr>
                <w:color w:val="000000" w:themeColor="text1"/>
              </w:rPr>
              <w:t>Met target</w:t>
            </w:r>
          </w:p>
        </w:tc>
        <w:tc>
          <w:tcPr>
            <w:tcW w:w="539" w:type="pct"/>
            <w:shd w:val="clear" w:color="auto" w:fill="auto"/>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E6D6476" w14:textId="77777777" w:rsidR="001E56F4"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p>
    <w:p w14:paraId="070F5A41" w14:textId="4601B408" w:rsidR="008901AF" w:rsidRPr="00ED172B" w:rsidRDefault="008901AF" w:rsidP="005A1CA1">
      <w:pPr>
        <w:rPr>
          <w:rFonts w:cs="Arial"/>
          <w:b/>
          <w:color w:val="000000" w:themeColor="text1"/>
          <w:szCs w:val="16"/>
        </w:rPr>
      </w:pPr>
      <w:r w:rsidRPr="00ED172B">
        <w:rPr>
          <w:rFonts w:cs="Arial"/>
          <w:b/>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0</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monitoring</w:t>
      </w:r>
    </w:p>
    <w:p w14:paraId="257F15B7" w14:textId="4F703FDF" w:rsidR="000709B9" w:rsidRPr="00ED172B" w:rsidRDefault="000709B9" w:rsidP="00B83404">
      <w:pPr>
        <w:rPr>
          <w:b/>
          <w:i/>
          <w:color w:val="000000" w:themeColor="text1"/>
        </w:rPr>
      </w:pPr>
      <w:r w:rsidRPr="00ED172B">
        <w:rPr>
          <w:b/>
          <w:color w:val="000000" w:themeColor="text1"/>
        </w:rPr>
        <w:t xml:space="preserve">Describe the method used to select EIS programs for monitoring. </w:t>
      </w:r>
    </w:p>
    <w:p w14:paraId="1770C9F3" w14:textId="19E3D405" w:rsidR="000709B9" w:rsidRDefault="00860830" w:rsidP="000709B9">
      <w:pPr>
        <w:rPr>
          <w:color w:val="000000" w:themeColor="text1"/>
        </w:rPr>
      </w:pPr>
      <w:r w:rsidRPr="00ED172B">
        <w:rPr>
          <w:color w:val="000000" w:themeColor="text1"/>
        </w:rPr>
        <w:t xml:space="preserve">Nevada's Early Intervention (EI) services system is comprised of eleven (11) EI programs statewide which must undergo comprehensive monitoring by the IDEA Part C Office. The general supervision process for Comprehensive Monitoring, which has been utilized and reported by the State since 2015, is to complete a review of half of the EI programs in each federal reporting period and the remaining EI programs in alternating years (biennially). In FFY 2022, the Part C Office completed comprehensive virtual site monitoring for a cohort of five (5) EIS programs relative to this indicator. The remaining six (6) EI programs were previously monitored in FFY 2021 and will </w:t>
      </w:r>
      <w:proofErr w:type="gramStart"/>
      <w:r w:rsidRPr="00ED172B">
        <w:rPr>
          <w:color w:val="000000" w:themeColor="text1"/>
        </w:rPr>
        <w:t>continue on</w:t>
      </w:r>
      <w:proofErr w:type="gramEnd"/>
      <w:r w:rsidRPr="00ED172B">
        <w:rPr>
          <w:color w:val="000000" w:themeColor="text1"/>
        </w:rPr>
        <w:t xml:space="preserve"> the biennial cycle. The number of children enrolled in each program was taken into consideration to ensure an equitable breakdown of the number of children served statewide, so the data is representative of all children across the state for each year of the cycle. </w:t>
      </w:r>
      <w:r w:rsidRPr="00ED172B">
        <w:rPr>
          <w:color w:val="000000" w:themeColor="text1"/>
        </w:rPr>
        <w:br/>
      </w:r>
      <w:r w:rsidRPr="00ED172B">
        <w:rPr>
          <w:color w:val="000000" w:themeColor="text1"/>
        </w:rPr>
        <w:br/>
        <w:t xml:space="preserve">Virtual monitoring included desk audit of TRAC data system, review of official child records in state and community EI program data bases and review of official child records scanned from programs to the Part C Office. </w:t>
      </w:r>
      <w:r w:rsidRPr="00ED172B">
        <w:rPr>
          <w:color w:val="000000" w:themeColor="text1"/>
        </w:rPr>
        <w:br/>
      </w:r>
      <w:r w:rsidRPr="00ED172B">
        <w:rPr>
          <w:color w:val="000000" w:themeColor="text1"/>
        </w:rPr>
        <w:br/>
        <w:t xml:space="preserve">Data for this indicator are taken from Comprehensive Program Monitoring for the reporting period (July 1, 2022– March 31, 2023). A minimum number of records were required to be reviewed by the IDEA Part C Office, which included: 10% of enrollment for large programs (300 or more active children) and 20% for smaller programs (fewer than 300 active children). The number of records reviewed is sufficient to ensure the data were representative of the statewide enrollment and accurately reflected the programs performance relative to all children served by the program. </w:t>
      </w:r>
      <w:r w:rsidRPr="00ED172B">
        <w:rPr>
          <w:color w:val="000000" w:themeColor="text1"/>
        </w:rPr>
        <w:br/>
      </w:r>
      <w:r w:rsidRPr="00ED172B">
        <w:rPr>
          <w:color w:val="000000" w:themeColor="text1"/>
        </w:rPr>
        <w:br/>
        <w:t>The data are gathered through monitoring for this indicator, rather than from the TRAC data system, resulting in a difference between the total number of children exiting Part C services in the State during the fiscal year and the number of children for whom data is reflected for Indicator 8A.</w:t>
      </w:r>
    </w:p>
    <w:p w14:paraId="7E255243" w14:textId="77777777" w:rsidR="008901AF" w:rsidRPr="00ED172B" w:rsidRDefault="008901AF" w:rsidP="00950382">
      <w:pPr>
        <w:rPr>
          <w:color w:val="000000" w:themeColor="text1"/>
        </w:rPr>
      </w:pPr>
    </w:p>
    <w:p w14:paraId="679E0C72" w14:textId="31A766F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860830" w:rsidP="003A3693">
      <w:pPr>
        <w:rPr>
          <w:rFonts w:cs="Arial"/>
          <w:color w:val="000000" w:themeColor="text1"/>
          <w:szCs w:val="16"/>
        </w:rPr>
      </w:pPr>
      <w:r w:rsidRPr="00ED172B">
        <w:rPr>
          <w:rFonts w:cs="Arial"/>
          <w:color w:val="000000" w:themeColor="text1"/>
          <w:szCs w:val="16"/>
        </w:rPr>
        <w:t>No new findings were issued for this indicator in FFY 2022.</w:t>
      </w:r>
    </w:p>
    <w:p w14:paraId="367CB071" w14:textId="3E5A7B44" w:rsidR="008203B4" w:rsidRPr="00ED172B" w:rsidRDefault="008203B4"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2D4FE5FD" w14:textId="77777777" w:rsidTr="00986B99">
        <w:trPr>
          <w:trHeight w:val="389"/>
          <w:tblHeader/>
        </w:trPr>
        <w:tc>
          <w:tcPr>
            <w:tcW w:w="1210" w:type="pct"/>
            <w:shd w:val="clear" w:color="auto" w:fill="auto"/>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shd w:val="clear" w:color="auto" w:fill="auto"/>
          </w:tcPr>
          <w:p w14:paraId="6D36EEFA" w14:textId="77759E1D" w:rsidR="008203B4" w:rsidRPr="00ED172B" w:rsidRDefault="00860830" w:rsidP="00ED172B">
            <w:pPr>
              <w:jc w:val="center"/>
              <w:rPr>
                <w:rFonts w:cs="Arial"/>
                <w:color w:val="000000" w:themeColor="text1"/>
                <w:szCs w:val="16"/>
              </w:rPr>
            </w:pPr>
            <w:r w:rsidRPr="00ED172B">
              <w:rPr>
                <w:rFonts w:cs="Arial"/>
                <w:color w:val="000000" w:themeColor="text1"/>
                <w:szCs w:val="16"/>
              </w:rPr>
              <w:t>3</w:t>
            </w:r>
          </w:p>
        </w:tc>
        <w:tc>
          <w:tcPr>
            <w:tcW w:w="1270" w:type="pct"/>
            <w:shd w:val="clear" w:color="auto" w:fill="auto"/>
          </w:tcPr>
          <w:p w14:paraId="6F7AE561" w14:textId="0506DBB0" w:rsidR="008203B4" w:rsidRPr="00ED172B" w:rsidRDefault="00860830" w:rsidP="00ED172B">
            <w:pPr>
              <w:jc w:val="center"/>
              <w:rPr>
                <w:rFonts w:cs="Arial"/>
                <w:color w:val="000000" w:themeColor="text1"/>
                <w:szCs w:val="16"/>
              </w:rPr>
            </w:pPr>
            <w:r w:rsidRPr="00ED172B">
              <w:rPr>
                <w:rFonts w:cs="Arial"/>
                <w:color w:val="000000" w:themeColor="text1"/>
                <w:szCs w:val="16"/>
              </w:rPr>
              <w:t>1</w:t>
            </w:r>
          </w:p>
        </w:tc>
        <w:tc>
          <w:tcPr>
            <w:tcW w:w="1213" w:type="pct"/>
            <w:shd w:val="clear" w:color="auto" w:fill="auto"/>
          </w:tcPr>
          <w:p w14:paraId="58BE9E1E" w14:textId="2A20A5FA" w:rsidR="008203B4" w:rsidRPr="00ED172B" w:rsidRDefault="00860830" w:rsidP="00ED172B">
            <w:pPr>
              <w:jc w:val="center"/>
              <w:rPr>
                <w:rFonts w:cs="Arial"/>
                <w:color w:val="000000" w:themeColor="text1"/>
                <w:szCs w:val="16"/>
              </w:rPr>
            </w:pPr>
            <w:r w:rsidRPr="00ED172B">
              <w:rPr>
                <w:rFonts w:cs="Arial"/>
                <w:color w:val="000000" w:themeColor="text1"/>
                <w:szCs w:val="16"/>
              </w:rPr>
              <w:t>1</w:t>
            </w:r>
          </w:p>
        </w:tc>
        <w:tc>
          <w:tcPr>
            <w:tcW w:w="1308" w:type="pct"/>
            <w:shd w:val="clear" w:color="auto" w:fill="auto"/>
          </w:tcPr>
          <w:p w14:paraId="23C4C3AF" w14:textId="3B5B521A" w:rsidR="008203B4" w:rsidRPr="00ED172B" w:rsidRDefault="00860830" w:rsidP="00CD79C5">
            <w:pPr>
              <w:rPr>
                <w:rFonts w:cs="Arial"/>
                <w:color w:val="000000" w:themeColor="text1"/>
                <w:szCs w:val="16"/>
              </w:rPr>
            </w:pPr>
            <w:r w:rsidRPr="00ED172B">
              <w:rPr>
                <w:rFonts w:cs="Arial"/>
                <w:color w:val="000000" w:themeColor="text1"/>
                <w:szCs w:val="16"/>
              </w:rPr>
              <w:t>1</w:t>
            </w:r>
          </w:p>
        </w:tc>
      </w:tr>
    </w:tbl>
    <w:p w14:paraId="297C4AAD" w14:textId="3037B473" w:rsidR="008203B4" w:rsidRPr="00ED172B" w:rsidRDefault="00CD74B5" w:rsidP="00B83404">
      <w:pPr>
        <w:rPr>
          <w:color w:val="000000" w:themeColor="text1"/>
        </w:rPr>
      </w:pPr>
      <w:r>
        <w:rPr>
          <w:b/>
          <w:color w:val="000000" w:themeColor="text1"/>
        </w:rPr>
        <w:t>FFY 2021 Findings of Noncompliance Verified as Corrected</w:t>
      </w:r>
    </w:p>
    <w:p w14:paraId="2049985B" w14:textId="762336E6"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426695CD" w14:textId="04C27211" w:rsidR="008203B4" w:rsidRPr="00ED172B" w:rsidRDefault="00860830">
      <w:pPr>
        <w:rPr>
          <w:color w:val="000000" w:themeColor="text1"/>
        </w:rPr>
      </w:pPr>
      <w:r w:rsidRPr="00ED172B">
        <w:rPr>
          <w:color w:val="000000" w:themeColor="text1"/>
        </w:rPr>
        <w:t>Three programs were issued a new finding in FFY21 for one child record at each program. For these programs the IDEA Part C office reviewed the records to verify correction. As a result, the data reflected that one (1) program was performing at 100% and had timely correction. A second program demonstrated subsequent correction. Correction cannot be verified for the third program. Although the third program's staff submitted acknowledgements of understanding transition planning regulatory requirements, the child is no longer in the jurisdiction of the EI system. The Developmental Specialist is no longer employed in the EI system either. The program is scheduled for comprehensive monitoring in FFY 2023. The child records will be reviewed for transition planning to ensure all children are receiving timely transition planning supports and services.</w:t>
      </w:r>
    </w:p>
    <w:p w14:paraId="748DC2E5" w14:textId="77403AF8"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D7ABAD5" w14:textId="72D98F40" w:rsidR="008203B4" w:rsidRDefault="00860830">
      <w:pPr>
        <w:rPr>
          <w:color w:val="000000" w:themeColor="text1"/>
        </w:rPr>
      </w:pPr>
      <w:r w:rsidRPr="00ED172B">
        <w:rPr>
          <w:color w:val="000000" w:themeColor="text1"/>
        </w:rPr>
        <w:t xml:space="preserve">The IDEA Part C Office verified through desk audits and ongoing program reporting for this program, the transition plans for the child records with noncompliance were developed, although late. This is documented through the utilization of a standard individual child correction form that is a part of the state's monitoring procedures. The child from the second program had already exited the program on third as Part B Not Determined to the LEA in March of 2022, prior to Comprehensive Monitoring. The plan had been developed although late. Correction cannot be verified for the third program. Although the third program's staff submitted acknowledgements of understanding transition planning regulatory requirements, the child is no longer in the jurisdiction of the EI system as they exited on third to the LEA as Part B Eligible just weeks after the completion Comprehensive Monitoring in July of 2022. The child’s plan was developed, although one section was late. The Developmental Specialist is no longer employed in the EI system either. The </w:t>
      </w:r>
      <w:r w:rsidRPr="00ED172B">
        <w:rPr>
          <w:color w:val="000000" w:themeColor="text1"/>
        </w:rPr>
        <w:lastRenderedPageBreak/>
        <w:t>program is scheduled for comprehensive monitoring in FFY 2023. The child records will be reviewed for transition planning to ensure all children are receiving timely transition planning supports and services.</w:t>
      </w:r>
    </w:p>
    <w:p w14:paraId="09FF2628" w14:textId="641263F6" w:rsidR="008203B4" w:rsidRPr="00ED172B" w:rsidRDefault="00CD74B5" w:rsidP="00B83404">
      <w:pPr>
        <w:rPr>
          <w:color w:val="000000" w:themeColor="text1"/>
        </w:rPr>
      </w:pPr>
      <w:r>
        <w:rPr>
          <w:b/>
          <w:color w:val="000000" w:themeColor="text1"/>
        </w:rPr>
        <w:t>FFY 2021 Findings of Noncompliance Not Yet Verified as Corrected</w:t>
      </w:r>
    </w:p>
    <w:p w14:paraId="1C67936A" w14:textId="77777777" w:rsidR="008203B4" w:rsidRPr="00ED172B" w:rsidRDefault="008203B4">
      <w:pPr>
        <w:rPr>
          <w:b/>
          <w:color w:val="000000" w:themeColor="text1"/>
        </w:rPr>
      </w:pPr>
      <w:r w:rsidRPr="00ED172B">
        <w:rPr>
          <w:b/>
          <w:color w:val="000000" w:themeColor="text1"/>
        </w:rPr>
        <w:t>Actions taken if noncompliance not corrected</w:t>
      </w:r>
    </w:p>
    <w:p w14:paraId="4C8F1CE7" w14:textId="18A94F55" w:rsidR="008203B4" w:rsidRDefault="00860830">
      <w:pPr>
        <w:rPr>
          <w:color w:val="000000" w:themeColor="text1"/>
        </w:rPr>
      </w:pPr>
      <w:r w:rsidRPr="00ED172B">
        <w:rPr>
          <w:color w:val="000000" w:themeColor="text1"/>
        </w:rPr>
        <w:t>The program is scheduled for comprehensive monitoring in FFY 2023. The child records will be reviewed for transition planning to ensure all children are receiving timely transition planning supports and services. The Part C Office will ensure the program will be notified of any child records that are non-compliant with transition planning requirements. The Part C Office will follow-up with verification of records through desk audits as applicable to ensure correction of systemic and individual record compliance.</w:t>
      </w:r>
    </w:p>
    <w:p w14:paraId="300F7028" w14:textId="3091B972" w:rsidR="008203B4" w:rsidRPr="00ED172B" w:rsidRDefault="008203B4"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shd w:val="clear" w:color="auto" w:fill="auto"/>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14:paraId="6E009F9F" w14:textId="61842586"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83" w:type="pct"/>
            <w:shd w:val="clear" w:color="auto" w:fill="auto"/>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shd w:val="clear" w:color="auto" w:fill="auto"/>
          </w:tcPr>
          <w:p w14:paraId="3B9EE4C9" w14:textId="36893AED" w:rsidR="008203B4" w:rsidRPr="00ED172B" w:rsidRDefault="008203B4" w:rsidP="00D21F29">
            <w:pPr>
              <w:jc w:val="center"/>
              <w:rPr>
                <w:rFonts w:cs="Arial"/>
                <w:color w:val="000000" w:themeColor="text1"/>
                <w:szCs w:val="16"/>
              </w:rPr>
            </w:pPr>
          </w:p>
        </w:tc>
        <w:tc>
          <w:tcPr>
            <w:tcW w:w="1388" w:type="pct"/>
            <w:shd w:val="clear" w:color="auto" w:fill="auto"/>
          </w:tcPr>
          <w:p w14:paraId="59BBBE3F" w14:textId="119CB64D" w:rsidR="008203B4" w:rsidRPr="00ED172B" w:rsidRDefault="008203B4" w:rsidP="00CD79C5">
            <w:pPr>
              <w:jc w:val="center"/>
              <w:rPr>
                <w:rFonts w:cs="Arial"/>
                <w:noProof/>
                <w:color w:val="000000" w:themeColor="text1"/>
                <w:szCs w:val="16"/>
              </w:rPr>
            </w:pPr>
          </w:p>
        </w:tc>
        <w:tc>
          <w:tcPr>
            <w:tcW w:w="1383" w:type="pct"/>
            <w:shd w:val="clear" w:color="auto" w:fill="auto"/>
          </w:tcPr>
          <w:p w14:paraId="127E5ED1" w14:textId="5E826401" w:rsidR="008203B4" w:rsidRPr="00ED172B" w:rsidRDefault="008203B4" w:rsidP="00CD79C5">
            <w:pPr>
              <w:jc w:val="center"/>
              <w:rPr>
                <w:rFonts w:cs="Arial"/>
                <w:noProof/>
                <w:color w:val="000000" w:themeColor="text1"/>
                <w:szCs w:val="16"/>
              </w:rPr>
            </w:pPr>
          </w:p>
        </w:tc>
        <w:tc>
          <w:tcPr>
            <w:tcW w:w="1300" w:type="pct"/>
            <w:shd w:val="clear" w:color="auto" w:fill="auto"/>
          </w:tcPr>
          <w:p w14:paraId="150828EF" w14:textId="74F3132B" w:rsidR="008203B4" w:rsidRPr="00ED172B" w:rsidRDefault="008203B4" w:rsidP="00CD79C5">
            <w:pPr>
              <w:jc w:val="center"/>
              <w:rPr>
                <w:rFonts w:cs="Arial"/>
                <w:noProof/>
                <w:color w:val="000000" w:themeColor="text1"/>
                <w:szCs w:val="16"/>
              </w:rPr>
            </w:pPr>
          </w:p>
        </w:tc>
      </w:tr>
      <w:tr w:rsidR="00ED172B" w:rsidRPr="00ED172B" w14:paraId="1FB93036" w14:textId="77777777" w:rsidTr="00986B99">
        <w:tc>
          <w:tcPr>
            <w:tcW w:w="929" w:type="pct"/>
            <w:shd w:val="clear" w:color="auto" w:fill="auto"/>
          </w:tcPr>
          <w:p w14:paraId="0F0F055B" w14:textId="44C477C9" w:rsidR="008203B4" w:rsidRPr="00ED172B" w:rsidRDefault="008203B4" w:rsidP="00D21F29">
            <w:pPr>
              <w:jc w:val="center"/>
              <w:rPr>
                <w:rFonts w:cs="Arial"/>
                <w:color w:val="000000" w:themeColor="text1"/>
                <w:szCs w:val="16"/>
              </w:rPr>
            </w:pPr>
          </w:p>
        </w:tc>
        <w:tc>
          <w:tcPr>
            <w:tcW w:w="1388" w:type="pct"/>
            <w:shd w:val="clear" w:color="auto" w:fill="auto"/>
          </w:tcPr>
          <w:p w14:paraId="4E4D35EC" w14:textId="3014D54F" w:rsidR="008203B4" w:rsidRPr="00ED172B" w:rsidRDefault="008203B4" w:rsidP="00CD79C5">
            <w:pPr>
              <w:jc w:val="center"/>
              <w:rPr>
                <w:rFonts w:cs="Arial"/>
                <w:noProof/>
                <w:color w:val="000000" w:themeColor="text1"/>
                <w:szCs w:val="16"/>
              </w:rPr>
            </w:pPr>
          </w:p>
        </w:tc>
        <w:tc>
          <w:tcPr>
            <w:tcW w:w="1383" w:type="pct"/>
            <w:shd w:val="clear" w:color="auto" w:fill="auto"/>
          </w:tcPr>
          <w:p w14:paraId="031A6B9D" w14:textId="25F039AF" w:rsidR="008203B4" w:rsidRPr="00ED172B" w:rsidRDefault="008203B4" w:rsidP="00CD79C5">
            <w:pPr>
              <w:jc w:val="center"/>
              <w:rPr>
                <w:rFonts w:cs="Arial"/>
                <w:noProof/>
                <w:color w:val="000000" w:themeColor="text1"/>
                <w:szCs w:val="16"/>
              </w:rPr>
            </w:pPr>
          </w:p>
        </w:tc>
        <w:tc>
          <w:tcPr>
            <w:tcW w:w="1300" w:type="pct"/>
            <w:shd w:val="clear" w:color="auto" w:fill="auto"/>
          </w:tcPr>
          <w:p w14:paraId="279F2773" w14:textId="6B96ACEF" w:rsidR="008203B4" w:rsidRPr="00ED172B" w:rsidRDefault="008203B4" w:rsidP="00CD79C5">
            <w:pPr>
              <w:jc w:val="center"/>
              <w:rPr>
                <w:rFonts w:cs="Arial"/>
                <w:noProof/>
                <w:color w:val="000000" w:themeColor="text1"/>
                <w:szCs w:val="16"/>
              </w:rPr>
            </w:pPr>
          </w:p>
        </w:tc>
      </w:tr>
      <w:tr w:rsidR="00ED172B" w:rsidRPr="00ED172B" w14:paraId="541BD90C" w14:textId="77777777" w:rsidTr="00986B99">
        <w:tc>
          <w:tcPr>
            <w:tcW w:w="929" w:type="pct"/>
            <w:shd w:val="clear" w:color="auto" w:fill="auto"/>
          </w:tcPr>
          <w:p w14:paraId="1E7B5266" w14:textId="4224D93A" w:rsidR="008203B4" w:rsidRPr="00ED172B" w:rsidRDefault="008203B4" w:rsidP="00D21F29">
            <w:pPr>
              <w:jc w:val="center"/>
              <w:rPr>
                <w:rFonts w:cs="Arial"/>
                <w:color w:val="000000" w:themeColor="text1"/>
                <w:szCs w:val="16"/>
              </w:rPr>
            </w:pPr>
          </w:p>
        </w:tc>
        <w:tc>
          <w:tcPr>
            <w:tcW w:w="1388" w:type="pct"/>
            <w:shd w:val="clear" w:color="auto" w:fill="auto"/>
          </w:tcPr>
          <w:p w14:paraId="7C14D12B" w14:textId="3003CF69" w:rsidR="008203B4" w:rsidRPr="00ED172B" w:rsidRDefault="008203B4" w:rsidP="00CD79C5">
            <w:pPr>
              <w:jc w:val="center"/>
              <w:rPr>
                <w:rFonts w:cs="Arial"/>
                <w:noProof/>
                <w:color w:val="000000" w:themeColor="text1"/>
                <w:szCs w:val="16"/>
              </w:rPr>
            </w:pPr>
          </w:p>
        </w:tc>
        <w:tc>
          <w:tcPr>
            <w:tcW w:w="1383" w:type="pct"/>
            <w:shd w:val="clear" w:color="auto" w:fill="auto"/>
          </w:tcPr>
          <w:p w14:paraId="45A94EB7" w14:textId="2538AC18" w:rsidR="008203B4" w:rsidRPr="00ED172B" w:rsidRDefault="008203B4" w:rsidP="00CD79C5">
            <w:pPr>
              <w:jc w:val="center"/>
              <w:rPr>
                <w:rFonts w:cs="Arial"/>
                <w:noProof/>
                <w:color w:val="000000" w:themeColor="text1"/>
                <w:szCs w:val="16"/>
              </w:rPr>
            </w:pPr>
          </w:p>
        </w:tc>
        <w:tc>
          <w:tcPr>
            <w:tcW w:w="1300" w:type="pct"/>
            <w:shd w:val="clear" w:color="auto" w:fill="auto"/>
          </w:tcPr>
          <w:p w14:paraId="0B3D9222" w14:textId="41BA0134" w:rsidR="008203B4" w:rsidRPr="00ED172B" w:rsidRDefault="008203B4" w:rsidP="00CD79C5">
            <w:pPr>
              <w:jc w:val="center"/>
              <w:rPr>
                <w:rFonts w:cs="Arial"/>
                <w:noProof/>
                <w:color w:val="000000" w:themeColor="text1"/>
                <w:szCs w:val="16"/>
              </w:rPr>
            </w:pPr>
          </w:p>
        </w:tc>
      </w:tr>
      <w:tr w:rsidR="003567DA" w:rsidRPr="00ED172B" w14:paraId="7E195BF3" w14:textId="77777777" w:rsidTr="00986B99">
        <w:tc>
          <w:tcPr>
            <w:tcW w:w="929" w:type="pct"/>
            <w:shd w:val="clear" w:color="auto" w:fill="auto"/>
          </w:tcPr>
          <w:p w14:paraId="4AF2A60C" w14:textId="3576B2CF" w:rsidR="003567DA" w:rsidRPr="00ED172B" w:rsidRDefault="003567DA" w:rsidP="00D21F29">
            <w:pPr>
              <w:jc w:val="center"/>
              <w:rPr>
                <w:rFonts w:cs="Arial"/>
                <w:color w:val="000000" w:themeColor="text1"/>
                <w:szCs w:val="16"/>
              </w:rPr>
            </w:pPr>
          </w:p>
        </w:tc>
        <w:tc>
          <w:tcPr>
            <w:tcW w:w="1388" w:type="pct"/>
            <w:shd w:val="clear" w:color="auto" w:fill="auto"/>
          </w:tcPr>
          <w:p w14:paraId="59D9013C" w14:textId="1941712A" w:rsidR="003567DA" w:rsidRPr="00ED172B" w:rsidRDefault="003567DA" w:rsidP="003567DA">
            <w:pPr>
              <w:jc w:val="center"/>
              <w:rPr>
                <w:rFonts w:cs="Arial"/>
                <w:color w:val="000000" w:themeColor="text1"/>
                <w:szCs w:val="16"/>
              </w:rPr>
            </w:pPr>
          </w:p>
        </w:tc>
        <w:tc>
          <w:tcPr>
            <w:tcW w:w="1383" w:type="pct"/>
            <w:shd w:val="clear" w:color="auto" w:fill="auto"/>
          </w:tcPr>
          <w:p w14:paraId="751143B2" w14:textId="0A52A4C8" w:rsidR="003567DA" w:rsidRPr="00ED172B" w:rsidRDefault="003567DA" w:rsidP="003567DA">
            <w:pPr>
              <w:jc w:val="center"/>
              <w:rPr>
                <w:rFonts w:cs="Arial"/>
                <w:color w:val="000000" w:themeColor="text1"/>
                <w:szCs w:val="16"/>
              </w:rPr>
            </w:pPr>
          </w:p>
        </w:tc>
        <w:tc>
          <w:tcPr>
            <w:tcW w:w="1300" w:type="pct"/>
            <w:shd w:val="clear" w:color="auto" w:fill="auto"/>
          </w:tcPr>
          <w:p w14:paraId="325EE8E5" w14:textId="6960CE55" w:rsidR="003567DA" w:rsidRPr="00ED172B" w:rsidRDefault="003567DA" w:rsidP="003567DA">
            <w:pPr>
              <w:jc w:val="center"/>
              <w:rPr>
                <w:rFonts w:cs="Arial"/>
                <w:color w:val="000000" w:themeColor="text1"/>
                <w:szCs w:val="16"/>
              </w:rPr>
            </w:pPr>
          </w:p>
        </w:tc>
      </w:tr>
      <w:tr w:rsidR="003567DA" w:rsidRPr="00ED172B" w14:paraId="5BC0AB2F" w14:textId="77777777" w:rsidTr="00986B99">
        <w:tc>
          <w:tcPr>
            <w:tcW w:w="929" w:type="pct"/>
            <w:shd w:val="clear" w:color="auto" w:fill="auto"/>
          </w:tcPr>
          <w:p w14:paraId="7320BAB7" w14:textId="21191BEE" w:rsidR="003567DA" w:rsidRPr="00ED172B" w:rsidRDefault="003567DA" w:rsidP="00D21F29">
            <w:pPr>
              <w:jc w:val="center"/>
              <w:rPr>
                <w:rFonts w:cs="Arial"/>
                <w:color w:val="000000" w:themeColor="text1"/>
                <w:szCs w:val="16"/>
              </w:rPr>
            </w:pPr>
          </w:p>
        </w:tc>
        <w:tc>
          <w:tcPr>
            <w:tcW w:w="1388" w:type="pct"/>
            <w:shd w:val="clear" w:color="auto" w:fill="auto"/>
          </w:tcPr>
          <w:p w14:paraId="49A8062D" w14:textId="27001B2C" w:rsidR="003567DA" w:rsidRPr="00ED172B" w:rsidRDefault="003567DA" w:rsidP="003567DA">
            <w:pPr>
              <w:jc w:val="center"/>
              <w:rPr>
                <w:rFonts w:cs="Arial"/>
                <w:color w:val="000000" w:themeColor="text1"/>
                <w:szCs w:val="16"/>
              </w:rPr>
            </w:pPr>
          </w:p>
        </w:tc>
        <w:tc>
          <w:tcPr>
            <w:tcW w:w="1383" w:type="pct"/>
            <w:shd w:val="clear" w:color="auto" w:fill="auto"/>
          </w:tcPr>
          <w:p w14:paraId="4E01C463" w14:textId="785D827D" w:rsidR="003567DA" w:rsidRPr="00ED172B" w:rsidRDefault="003567DA" w:rsidP="003567DA">
            <w:pPr>
              <w:jc w:val="center"/>
              <w:rPr>
                <w:rFonts w:cs="Arial"/>
                <w:color w:val="000000" w:themeColor="text1"/>
                <w:szCs w:val="16"/>
              </w:rPr>
            </w:pPr>
          </w:p>
        </w:tc>
        <w:tc>
          <w:tcPr>
            <w:tcW w:w="1300" w:type="pct"/>
            <w:shd w:val="clear" w:color="auto" w:fill="auto"/>
          </w:tcPr>
          <w:p w14:paraId="34D7F437" w14:textId="447F553F" w:rsidR="003567DA" w:rsidRPr="00ED172B" w:rsidRDefault="003567DA" w:rsidP="003567DA">
            <w:pPr>
              <w:jc w:val="center"/>
              <w:rPr>
                <w:rFonts w:cs="Arial"/>
                <w:color w:val="000000" w:themeColor="text1"/>
                <w:szCs w:val="16"/>
              </w:rPr>
            </w:pP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61E6D547" w14:textId="25A08117" w:rsidR="008203B4" w:rsidRPr="00ED172B" w:rsidRDefault="008203B4"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4E3E58E2" w14:textId="3B865535" w:rsidR="004C1CEE" w:rsidRPr="00ED172B" w:rsidRDefault="004C1CEE" w:rsidP="00027F39">
      <w:pPr>
        <w:rPr>
          <w:color w:val="000000" w:themeColor="text1"/>
        </w:rPr>
      </w:pP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8203B4" w:rsidP="00320806">
      <w:pPr>
        <w:rPr>
          <w:color w:val="000000" w:themeColor="text1"/>
        </w:rPr>
      </w:pP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320806" w:rsidP="00320806">
      <w:pPr>
        <w:rPr>
          <w:color w:val="000000" w:themeColor="text1"/>
        </w:rPr>
      </w:pPr>
      <w:r w:rsidRPr="00ED172B">
        <w:rPr>
          <w:color w:val="000000" w:themeColor="text1"/>
        </w:rPr>
        <w:t>The State must demonstrate, in the FFY 2023 SPP/APR, that the remaining finding identified in FFY 2021 was corrected. When reporting on the correction of noncompliance, the State must report, in the FFY 2023 SPP/APR, that it has verified that each EIS program or provider with remaining noncompliance identified in FFY 2021: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w:t>
      </w: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 xml:space="preserve">A. Developed an IFSP with transition steps and services at least 90 days, and at the discretion of all parties, not more than nine months, prior to the toddler’s third </w:t>
      </w:r>
      <w:proofErr w:type="gramStart"/>
      <w:r w:rsidRPr="00ED172B">
        <w:rPr>
          <w:color w:val="000000" w:themeColor="text1"/>
          <w:szCs w:val="16"/>
        </w:rPr>
        <w:t>birthday;</w:t>
      </w:r>
      <w:proofErr w:type="gramEnd"/>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7675FDF4"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are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69464D6"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49458D75" w14:textId="77777777" w:rsidR="00D77E41" w:rsidRPr="00ED172B" w:rsidRDefault="00D77E41" w:rsidP="00D77E41">
      <w:pPr>
        <w:rPr>
          <w:color w:val="000000" w:themeColor="text1"/>
          <w:szCs w:val="16"/>
        </w:rPr>
      </w:pPr>
      <w:r w:rsidRPr="00ED172B">
        <w:rPr>
          <w:color w:val="000000" w:themeColor="text1"/>
          <w:szCs w:val="16"/>
        </w:rPr>
        <w:t xml:space="preserve">Indicator 8C: Do not include in the </w:t>
      </w:r>
      <w:proofErr w:type="gramStart"/>
      <w:r w:rsidRPr="00ED172B">
        <w:rPr>
          <w:color w:val="000000" w:themeColor="text1"/>
          <w:szCs w:val="16"/>
        </w:rPr>
        <w:t>calculation, but</w:t>
      </w:r>
      <w:proofErr w:type="gramEnd"/>
      <w:r w:rsidRPr="00ED172B">
        <w:rPr>
          <w:color w:val="000000" w:themeColor="text1"/>
          <w:szCs w:val="16"/>
        </w:rPr>
        <w:t xml:space="preserve"> provide a separate number for those toddlers for whom the parent did not provide approval for the transition conference.</w:t>
      </w:r>
    </w:p>
    <w:p w14:paraId="0C5095CD" w14:textId="41A1BA7A" w:rsidR="00D77E41" w:rsidRPr="00ED172B" w:rsidRDefault="00D77E41" w:rsidP="00D77E41">
      <w:pPr>
        <w:rPr>
          <w:color w:val="000000" w:themeColor="text1"/>
          <w:szCs w:val="16"/>
        </w:rPr>
      </w:pPr>
      <w:r w:rsidRPr="00ED172B">
        <w:rPr>
          <w:color w:val="000000" w:themeColor="text1"/>
          <w:szCs w:val="16"/>
        </w:rPr>
        <w:t xml:space="preserve">Indicators 8A, 8B, and 8C: Provide detailed information about the timely correction of </w:t>
      </w:r>
      <w:r w:rsidR="00CF4EC7" w:rsidRPr="00D21F29">
        <w:rPr>
          <w:color w:val="000000" w:themeColor="text1"/>
          <w:szCs w:val="16"/>
        </w:rPr>
        <w:t>child-specific and regulatory/systemic</w:t>
      </w:r>
      <w:r w:rsidR="00CF4EC7" w:rsidRPr="00ED172B">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1FB90C52"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20E9FA47" w14:textId="77777777" w:rsidTr="00A40EE1">
        <w:trPr>
          <w:trHeight w:val="350"/>
          <w:tblHeader/>
        </w:trPr>
        <w:tc>
          <w:tcPr>
            <w:tcW w:w="4285" w:type="pct"/>
            <w:tcBorders>
              <w:bottom w:val="single" w:sz="4" w:space="0" w:color="auto"/>
            </w:tcBorders>
            <w:shd w:val="clear" w:color="auto" w:fill="auto"/>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shd w:val="clear" w:color="auto" w:fill="auto"/>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0666BADC" w14:textId="408974FB" w:rsidR="000378F3" w:rsidRPr="00ED172B" w:rsidRDefault="000378F3" w:rsidP="000378F3">
            <w:pPr>
              <w:jc w:val="center"/>
              <w:rPr>
                <w:color w:val="000000" w:themeColor="text1"/>
              </w:rPr>
            </w:pPr>
            <w:r w:rsidRPr="00ED172B">
              <w:rPr>
                <w:color w:val="000000" w:themeColor="text1"/>
              </w:rPr>
              <w:t>100.00%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74E8D900" w14:textId="77777777" w:rsidTr="00A40EE1">
        <w:trPr>
          <w:trHeight w:val="350"/>
        </w:trPr>
        <w:tc>
          <w:tcPr>
            <w:tcW w:w="317" w:type="pct"/>
            <w:tcBorders>
              <w:bottom w:val="single" w:sz="4" w:space="0" w:color="auto"/>
            </w:tcBorders>
            <w:shd w:val="clear" w:color="auto" w:fill="auto"/>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2CC40DB3" w14:textId="77777777" w:rsidTr="00A40EE1">
        <w:trPr>
          <w:trHeight w:val="357"/>
        </w:trPr>
        <w:tc>
          <w:tcPr>
            <w:tcW w:w="317" w:type="pct"/>
            <w:shd w:val="clear" w:color="auto" w:fill="auto"/>
          </w:tcPr>
          <w:p w14:paraId="23D9DCFF" w14:textId="6DF7F7F5"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shd w:val="clear" w:color="auto" w:fill="auto"/>
          </w:tcPr>
          <w:p w14:paraId="784E6590"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shd w:val="clear" w:color="auto" w:fill="auto"/>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72.73%</w:t>
            </w:r>
          </w:p>
        </w:tc>
        <w:tc>
          <w:tcPr>
            <w:tcW w:w="937" w:type="pct"/>
            <w:tcBorders>
              <w:bottom w:val="single" w:sz="4" w:space="0" w:color="auto"/>
            </w:tcBorders>
            <w:shd w:val="clear" w:color="auto" w:fill="auto"/>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54.98%</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1911"/>
        <w:gridCol w:w="2042"/>
        <w:gridCol w:w="2042"/>
        <w:gridCol w:w="2042"/>
      </w:tblGrid>
      <w:tr w:rsidR="00C843AF" w:rsidRPr="00ED172B" w14:paraId="02FB5FEC" w14:textId="0147A57A" w:rsidTr="00E415ED">
        <w:trPr>
          <w:trHeight w:val="265"/>
        </w:trPr>
        <w:tc>
          <w:tcPr>
            <w:tcW w:w="318" w:type="pct"/>
            <w:tcBorders>
              <w:bottom w:val="single" w:sz="4" w:space="0" w:color="auto"/>
            </w:tcBorders>
            <w:shd w:val="clear" w:color="auto" w:fill="auto"/>
          </w:tcPr>
          <w:p w14:paraId="66965110" w14:textId="77777777" w:rsidR="00C843AF" w:rsidRPr="00ED172B" w:rsidRDefault="00C843AF" w:rsidP="00A74C59">
            <w:pPr>
              <w:jc w:val="center"/>
              <w:rPr>
                <w:b/>
                <w:color w:val="000000" w:themeColor="text1"/>
                <w:szCs w:val="16"/>
              </w:rPr>
            </w:pPr>
            <w:r w:rsidRPr="00ED172B">
              <w:rPr>
                <w:b/>
                <w:color w:val="000000" w:themeColor="text1"/>
                <w:szCs w:val="16"/>
              </w:rPr>
              <w:t>FFY</w:t>
            </w:r>
          </w:p>
        </w:tc>
        <w:tc>
          <w:tcPr>
            <w:tcW w:w="1114" w:type="pct"/>
            <w:shd w:val="clear" w:color="auto" w:fill="auto"/>
            <w:vAlign w:val="center"/>
          </w:tcPr>
          <w:p w14:paraId="2FB0CA2D" w14:textId="618E9216" w:rsidR="00C843AF" w:rsidRPr="00ED172B" w:rsidRDefault="00C843AF" w:rsidP="00A74C59">
            <w:pPr>
              <w:jc w:val="center"/>
              <w:rPr>
                <w:b/>
                <w:color w:val="000000" w:themeColor="text1"/>
                <w:szCs w:val="16"/>
              </w:rPr>
            </w:pPr>
            <w:r w:rsidRPr="00ED172B">
              <w:rPr>
                <w:rFonts w:cs="Arial"/>
                <w:b/>
                <w:color w:val="000000" w:themeColor="text1"/>
                <w:szCs w:val="16"/>
              </w:rPr>
              <w:t>2022</w:t>
            </w:r>
          </w:p>
        </w:tc>
        <w:tc>
          <w:tcPr>
            <w:tcW w:w="1189" w:type="pct"/>
          </w:tcPr>
          <w:p w14:paraId="34A3F497" w14:textId="71FBA966" w:rsidR="00C843AF" w:rsidRPr="00ED172B" w:rsidRDefault="00C843AF" w:rsidP="00A74C59">
            <w:pPr>
              <w:jc w:val="center"/>
              <w:rPr>
                <w:rFonts w:cs="Arial"/>
                <w:b/>
                <w:color w:val="000000" w:themeColor="text1"/>
                <w:szCs w:val="16"/>
              </w:rPr>
            </w:pPr>
            <w:r>
              <w:rPr>
                <w:rFonts w:cs="Arial"/>
                <w:b/>
                <w:color w:val="000000" w:themeColor="text1"/>
                <w:szCs w:val="16"/>
              </w:rPr>
              <w:t>2023</w:t>
            </w:r>
          </w:p>
        </w:tc>
        <w:tc>
          <w:tcPr>
            <w:tcW w:w="1189" w:type="pct"/>
          </w:tcPr>
          <w:p w14:paraId="10EB1256" w14:textId="5E9E9AED" w:rsidR="00C843AF" w:rsidRPr="00ED172B" w:rsidRDefault="00C843AF" w:rsidP="00A74C59">
            <w:pPr>
              <w:jc w:val="center"/>
              <w:rPr>
                <w:rFonts w:cs="Arial"/>
                <w:b/>
                <w:color w:val="000000" w:themeColor="text1"/>
                <w:szCs w:val="16"/>
              </w:rPr>
            </w:pPr>
            <w:r w:rsidRPr="005A1B4F">
              <w:rPr>
                <w:rFonts w:cs="Arial"/>
                <w:b/>
                <w:color w:val="000000" w:themeColor="text1"/>
                <w:szCs w:val="16"/>
              </w:rPr>
              <w:t>2024</w:t>
            </w:r>
          </w:p>
        </w:tc>
        <w:tc>
          <w:tcPr>
            <w:tcW w:w="1189" w:type="pct"/>
          </w:tcPr>
          <w:p w14:paraId="252B252E" w14:textId="05AA6405" w:rsidR="00C843AF" w:rsidRPr="00ED172B" w:rsidRDefault="00C843AF" w:rsidP="00A74C59">
            <w:pPr>
              <w:jc w:val="center"/>
              <w:rPr>
                <w:rFonts w:cs="Arial"/>
                <w:b/>
                <w:color w:val="000000" w:themeColor="text1"/>
                <w:szCs w:val="16"/>
              </w:rPr>
            </w:pPr>
            <w:r w:rsidRPr="005A1B4F">
              <w:rPr>
                <w:rFonts w:cs="Arial"/>
                <w:b/>
                <w:color w:val="000000" w:themeColor="text1"/>
                <w:szCs w:val="16"/>
              </w:rPr>
              <w:t>2025</w:t>
            </w:r>
          </w:p>
        </w:tc>
      </w:tr>
      <w:tr w:rsidR="00C843AF" w:rsidRPr="00ED172B" w14:paraId="1880903D" w14:textId="5D794342" w:rsidTr="00E415ED">
        <w:trPr>
          <w:trHeight w:val="270"/>
        </w:trPr>
        <w:tc>
          <w:tcPr>
            <w:tcW w:w="318" w:type="pct"/>
            <w:shd w:val="clear" w:color="auto" w:fill="auto"/>
          </w:tcPr>
          <w:p w14:paraId="009B82C2"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4" w:type="pct"/>
            <w:shd w:val="clear" w:color="auto" w:fill="auto"/>
          </w:tcPr>
          <w:p w14:paraId="68F3EB6C" w14:textId="1DC405D3" w:rsidR="00C843AF" w:rsidRPr="00ED172B" w:rsidRDefault="00C843AF" w:rsidP="00A74C59">
            <w:pPr>
              <w:jc w:val="center"/>
              <w:rPr>
                <w:color w:val="000000" w:themeColor="text1"/>
                <w:szCs w:val="16"/>
              </w:rPr>
            </w:pPr>
            <w:r w:rsidRPr="00ED172B">
              <w:rPr>
                <w:color w:val="000000" w:themeColor="text1"/>
                <w:szCs w:val="16"/>
              </w:rPr>
              <w:t>100%</w:t>
            </w:r>
          </w:p>
        </w:tc>
        <w:tc>
          <w:tcPr>
            <w:tcW w:w="1189" w:type="pct"/>
          </w:tcPr>
          <w:p w14:paraId="1016327E" w14:textId="3AD6E01E" w:rsidR="00C843AF" w:rsidRPr="00ED172B" w:rsidRDefault="00C843AF" w:rsidP="00A74C59">
            <w:pPr>
              <w:jc w:val="center"/>
              <w:rPr>
                <w:color w:val="000000" w:themeColor="text1"/>
                <w:szCs w:val="16"/>
              </w:rPr>
            </w:pPr>
            <w:r>
              <w:rPr>
                <w:rFonts w:cs="Arial"/>
                <w:color w:val="000000" w:themeColor="text1"/>
                <w:szCs w:val="16"/>
              </w:rPr>
              <w:t>100%</w:t>
            </w:r>
          </w:p>
        </w:tc>
        <w:tc>
          <w:tcPr>
            <w:tcW w:w="1189" w:type="pct"/>
          </w:tcPr>
          <w:p w14:paraId="3E9BB463" w14:textId="1F36391F" w:rsidR="00C843AF" w:rsidRPr="00ED172B" w:rsidRDefault="00C843AF" w:rsidP="00A74C59">
            <w:pPr>
              <w:jc w:val="center"/>
              <w:rPr>
                <w:color w:val="000000" w:themeColor="text1"/>
                <w:szCs w:val="16"/>
              </w:rPr>
            </w:pPr>
            <w:r w:rsidRPr="005F5F3C">
              <w:rPr>
                <w:rFonts w:cs="Arial"/>
                <w:color w:val="000000" w:themeColor="text1"/>
                <w:szCs w:val="16"/>
              </w:rPr>
              <w:t>100%</w:t>
            </w:r>
          </w:p>
        </w:tc>
        <w:tc>
          <w:tcPr>
            <w:tcW w:w="1189" w:type="pct"/>
          </w:tcPr>
          <w:p w14:paraId="7663FEAC" w14:textId="42E191F9" w:rsidR="00C843AF" w:rsidRPr="00ED172B" w:rsidRDefault="00C843AF" w:rsidP="00A74C59">
            <w:pPr>
              <w:jc w:val="center"/>
              <w:rPr>
                <w:color w:val="000000" w:themeColor="text1"/>
                <w:szCs w:val="16"/>
              </w:rPr>
            </w:pPr>
            <w:r w:rsidRPr="005F5F3C">
              <w:rPr>
                <w:rFonts w:cs="Arial"/>
                <w:color w:val="000000" w:themeColor="text1"/>
                <w:szCs w:val="16"/>
              </w:rPr>
              <w:t>100%</w:t>
            </w:r>
          </w:p>
        </w:tc>
      </w:tr>
    </w:tbl>
    <w:p w14:paraId="621A396D" w14:textId="191A5C0A" w:rsidR="008E7B96" w:rsidRPr="00ED172B" w:rsidRDefault="00F22D09">
      <w:pPr>
        <w:rPr>
          <w:b/>
          <w:color w:val="000000" w:themeColor="text1"/>
        </w:rPr>
      </w:pPr>
      <w:r>
        <w:rPr>
          <w:b/>
          <w:color w:val="000000" w:themeColor="text1"/>
        </w:rPr>
        <w:t>FFY 2022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shd w:val="clear" w:color="auto" w:fill="auto"/>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14:paraId="12765FCA" w14:textId="2349B298" w:rsidR="00F939F8" w:rsidRPr="00ED172B" w:rsidRDefault="00CD74B5" w:rsidP="00F939F8">
            <w:pPr>
              <w:jc w:val="center"/>
              <w:rPr>
                <w:b/>
                <w:color w:val="000000" w:themeColor="text1"/>
                <w:szCs w:val="16"/>
              </w:rPr>
            </w:pPr>
            <w:r>
              <w:rPr>
                <w:rFonts w:cs="Arial"/>
                <w:b/>
                <w:color w:val="000000" w:themeColor="text1"/>
                <w:szCs w:val="16"/>
              </w:rPr>
              <w:t>FFY 2021 Data</w:t>
            </w:r>
          </w:p>
        </w:tc>
        <w:tc>
          <w:tcPr>
            <w:tcW w:w="625" w:type="pct"/>
            <w:shd w:val="clear" w:color="auto" w:fill="auto"/>
            <w:vAlign w:val="bottom"/>
          </w:tcPr>
          <w:p w14:paraId="6245781C" w14:textId="5D552538" w:rsidR="00F939F8" w:rsidRPr="00ED172B" w:rsidRDefault="00F22D09" w:rsidP="00F939F8">
            <w:pPr>
              <w:jc w:val="center"/>
              <w:rPr>
                <w:b/>
                <w:color w:val="000000" w:themeColor="text1"/>
                <w:szCs w:val="16"/>
              </w:rPr>
            </w:pPr>
            <w:r>
              <w:rPr>
                <w:rFonts w:cs="Arial"/>
                <w:b/>
                <w:color w:val="000000" w:themeColor="text1"/>
                <w:szCs w:val="16"/>
              </w:rPr>
              <w:t>FFY 2022 Target</w:t>
            </w:r>
          </w:p>
        </w:tc>
        <w:tc>
          <w:tcPr>
            <w:tcW w:w="542" w:type="pct"/>
            <w:shd w:val="clear" w:color="auto" w:fill="auto"/>
            <w:vAlign w:val="bottom"/>
          </w:tcPr>
          <w:p w14:paraId="1E1DBF10" w14:textId="2681B16F" w:rsidR="00F939F8" w:rsidRPr="00ED172B" w:rsidRDefault="00F22D09" w:rsidP="00F939F8">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shd w:val="clear" w:color="auto" w:fill="auto"/>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2,106</w:t>
            </w:r>
          </w:p>
        </w:tc>
        <w:tc>
          <w:tcPr>
            <w:tcW w:w="750" w:type="pct"/>
            <w:shd w:val="clear" w:color="auto" w:fill="auto"/>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2,111</w:t>
            </w:r>
          </w:p>
        </w:tc>
        <w:tc>
          <w:tcPr>
            <w:tcW w:w="626" w:type="pct"/>
            <w:shd w:val="clear" w:color="auto" w:fill="auto"/>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54.98%</w:t>
            </w:r>
          </w:p>
        </w:tc>
        <w:tc>
          <w:tcPr>
            <w:tcW w:w="625" w:type="pct"/>
            <w:shd w:val="clear" w:color="auto" w:fill="auto"/>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shd w:val="clear" w:color="auto" w:fill="auto"/>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99.76%</w:t>
            </w:r>
          </w:p>
        </w:tc>
        <w:tc>
          <w:tcPr>
            <w:tcW w:w="542" w:type="pct"/>
            <w:shd w:val="clear" w:color="auto" w:fill="auto"/>
          </w:tcPr>
          <w:p w14:paraId="3C770A13" w14:textId="0F1127A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3DCA4621" w14:textId="6D456C28" w:rsidR="00F939F8" w:rsidRPr="00ED172B" w:rsidRDefault="00320806" w:rsidP="00320806">
            <w:pPr>
              <w:jc w:val="center"/>
              <w:rPr>
                <w:color w:val="000000" w:themeColor="text1"/>
              </w:rPr>
            </w:pPr>
            <w:r w:rsidRPr="00ED172B">
              <w:rPr>
                <w:color w:val="000000" w:themeColor="text1"/>
              </w:rPr>
              <w:t>No Slippage</w:t>
            </w:r>
          </w:p>
        </w:tc>
      </w:tr>
    </w:tbl>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0</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r w:rsidRPr="00ED172B">
        <w:rPr>
          <w:color w:val="000000" w:themeColor="text1"/>
          <w:szCs w:val="16"/>
        </w:rPr>
        <w:t>Reasons for delay within the IDEA Part C Office include two separate floods in the fiscal year which restricted access to the office and network database. The first flood in December 2022 destroyed furniture and carpeting. The second flood, in May 2023, caused delays in new furniture installation, restricted database access, and caused a burden on IDEA Part C staff who had to mitigate the loss of library books and materials, and paper files that were destroyed and potentially hazardous. This limited the ability of staff to address LEA/SEA data needs in a timely manner throughout the reporting period. This caused gaps in monthly reporting, which became quarterly for the period. Additionally, children who entered the system during this time and were nearing their 90 days before 3rd birthday had timelines missed for notification, though they were reported to the LEAs and SEA late.</w:t>
      </w:r>
      <w:r w:rsidRPr="00ED172B">
        <w:rPr>
          <w:color w:val="000000" w:themeColor="text1"/>
          <w:szCs w:val="16"/>
        </w:rPr>
        <w:br/>
      </w:r>
      <w:r w:rsidRPr="00ED172B">
        <w:rPr>
          <w:color w:val="000000" w:themeColor="text1"/>
          <w:szCs w:val="16"/>
        </w:rPr>
        <w:br/>
        <w:t>As LEA/SEA reporting delays in FFY21 and FFY22 were a failure of the IDEA Part C office no findings were issued. All children were reported, although late. The Nevada IDEA Part C Office has shared the notification delay information with ICC, stakeholders, OSEP, and Nevada Part B.</w:t>
      </w: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 xml:space="preserve">Nevada does not have an opt-out policy for notifications to the State Education Agency (SEA) and the Local Education Agencies (LEAs). </w:t>
      </w:r>
      <w:r w:rsidRPr="00ED172B">
        <w:rPr>
          <w:color w:val="000000" w:themeColor="text1"/>
          <w:szCs w:val="16"/>
        </w:rPr>
        <w:br/>
      </w:r>
      <w:r w:rsidRPr="00ED172B">
        <w:rPr>
          <w:color w:val="000000" w:themeColor="text1"/>
          <w:szCs w:val="16"/>
        </w:rPr>
        <w:br/>
        <w:t xml:space="preserve">The compliance percentage for this indicator was derived using the Tracking Resources and Children (TRAC) child data collection system. In completing the 618 Exit Data Report, Nevada used the Exit categories as reported in the Exiting data for FFY 2022 to calculate the number of children exiting Part C on their third birthdate who are eligible or potentially eligible for Part B. </w:t>
      </w:r>
      <w:r w:rsidRPr="00ED172B">
        <w:rPr>
          <w:color w:val="000000" w:themeColor="text1"/>
          <w:szCs w:val="16"/>
        </w:rPr>
        <w:br/>
      </w:r>
      <w:r w:rsidRPr="00ED172B">
        <w:rPr>
          <w:color w:val="000000" w:themeColor="text1"/>
          <w:szCs w:val="16"/>
        </w:rPr>
        <w:br/>
        <w:t>The Nevada IDEA Part C Office retrieved child information from TRAC for all active children with IFSPs and children who exited with IFSPs at or after the beginning of the fiscal year (July 1, 2022) and submitted two (2) quarterly reports to each school district (LEA). The first report included any child active in the system after their second birthdate, notifying the LEAs and SEA of children that will turn three (3) within the next 12 months. This is done to prevent any gap in notification, as children may exit and re-enter less than 90 days before their third birthday. The second report, issued simultaneously, contains the notification information for each child that has turned three (3) from the reporting date back to the beginning of the fiscal year who are potentially eligible for Part B services. This allows Nevada to notify for all children, including those that entered IDEA Part C services late. Annually a report for all children from the previous fiscal year is sent to the LEAs and SEA.</w:t>
      </w:r>
      <w:r w:rsidRPr="00ED172B">
        <w:rPr>
          <w:color w:val="000000" w:themeColor="text1"/>
          <w:szCs w:val="16"/>
        </w:rPr>
        <w:br/>
      </w:r>
      <w:r w:rsidRPr="00ED172B">
        <w:rPr>
          <w:color w:val="000000" w:themeColor="text1"/>
          <w:szCs w:val="16"/>
        </w:rPr>
        <w:br/>
        <w:t>The IDEA Part C Office issued monthly or quarterly email notifications to the pertinent LEA and to the SEA. An email was sent to each county school district. If an email was returned undeliverable, the 619 Coordinator and the county were contacted to determine the reason and correct the contact information to ensure timely and accurate notification. School districts where there were no children potentially eligible received notifications that stated there were no children in their district who were potentially eligible for Part B during the reporting period. Children who were referred less than 90 days prior to their third birthday are not included in this calculation, though the LEA/SEA were notified late.</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NO</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database</w:t>
      </w:r>
    </w:p>
    <w:p w14:paraId="107C7D72" w14:textId="2784E578" w:rsidR="000709B9" w:rsidRPr="00ED172B" w:rsidRDefault="000709B9">
      <w:pPr>
        <w:rPr>
          <w:b/>
          <w:color w:val="000000" w:themeColor="text1"/>
        </w:rPr>
      </w:pPr>
      <w:r w:rsidRPr="00ED172B">
        <w:rPr>
          <w:b/>
          <w:color w:val="000000" w:themeColor="text1"/>
        </w:rPr>
        <w:t xml:space="preserve">Provide the </w:t>
      </w:r>
      <w:proofErr w:type="gramStart"/>
      <w:r w:rsidRPr="00ED172B">
        <w:rPr>
          <w:b/>
          <w:color w:val="000000" w:themeColor="text1"/>
        </w:rPr>
        <w:t>time period</w:t>
      </w:r>
      <w:proofErr w:type="gramEnd"/>
      <w:r w:rsidRPr="00ED172B">
        <w:rPr>
          <w:b/>
          <w:color w:val="000000" w:themeColor="text1"/>
        </w:rPr>
        <w:t xml:space="preserve"> in which the data were collected (e.g., September through December, fourth quarter, selection from the full reporting period). </w:t>
      </w:r>
    </w:p>
    <w:p w14:paraId="12E53171" w14:textId="271EAFE5" w:rsidR="000709B9" w:rsidRPr="00ED172B" w:rsidRDefault="00860830" w:rsidP="000709B9">
      <w:pPr>
        <w:rPr>
          <w:color w:val="000000" w:themeColor="text1"/>
        </w:rPr>
      </w:pPr>
      <w:r w:rsidRPr="00ED172B">
        <w:rPr>
          <w:color w:val="000000" w:themeColor="text1"/>
        </w:rPr>
        <w:t xml:space="preserve">July 1, </w:t>
      </w:r>
      <w:proofErr w:type="gramStart"/>
      <w:r w:rsidRPr="00ED172B">
        <w:rPr>
          <w:color w:val="000000" w:themeColor="text1"/>
        </w:rPr>
        <w:t>2022</w:t>
      </w:r>
      <w:proofErr w:type="gramEnd"/>
      <w:r w:rsidRPr="00ED172B">
        <w:rPr>
          <w:color w:val="000000" w:themeColor="text1"/>
        </w:rPr>
        <w:t xml:space="preserve"> through June 30, 2023</w:t>
      </w:r>
    </w:p>
    <w:p w14:paraId="7DA68A46" w14:textId="0572035E"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7913918B" w14:textId="1A88B429" w:rsidR="000709B9" w:rsidRDefault="00860830" w:rsidP="000709B9">
      <w:pPr>
        <w:rPr>
          <w:rFonts w:cs="Arial"/>
          <w:color w:val="000000" w:themeColor="text1"/>
          <w:szCs w:val="16"/>
        </w:rPr>
      </w:pPr>
      <w:r w:rsidRPr="00ED172B">
        <w:rPr>
          <w:rFonts w:cs="Arial"/>
          <w:color w:val="000000" w:themeColor="text1"/>
          <w:szCs w:val="16"/>
        </w:rPr>
        <w:t>Data include all children who exited IDEA Part C services on their third birthdate with Part B Eligible or Part B Eligibility Not Determined. These data are linked with Exit and Transition Conference (C-8c) data.</w:t>
      </w:r>
    </w:p>
    <w:p w14:paraId="608340F2" w14:textId="0ECFEC2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65F7C53" w14:textId="7585271E" w:rsidR="003A3693" w:rsidRPr="00ED172B" w:rsidRDefault="00860830" w:rsidP="003A3693">
      <w:pPr>
        <w:rPr>
          <w:rFonts w:cs="Arial"/>
          <w:color w:val="000000" w:themeColor="text1"/>
          <w:szCs w:val="16"/>
        </w:rPr>
      </w:pPr>
      <w:r w:rsidRPr="00ED172B">
        <w:rPr>
          <w:rFonts w:cs="Arial"/>
          <w:color w:val="000000" w:themeColor="text1"/>
          <w:szCs w:val="16"/>
        </w:rPr>
        <w:t xml:space="preserve">The IDEA Part C Office continued improvements for the LEA process with purchase and implementation of a new customizable off the shelf data system, NEIDS. Vendor selection occurred during March 2022 and Nevada launched the new data system during October 2023 (FFY 2023). The new data system has the capacity to improve tracking, notification, and alert IDEA Part C and program staff when new or late referrals are in the system indicating the need to notify LEA/SEA. Nevada has included in the data system an internal manual date tracking and reporting for the initial time that official notification is sent to the LEA and SEA, reducing the time needed for annual year-end reporting to programs, school districts and the state </w:t>
      </w:r>
      <w:r w:rsidRPr="00ED172B">
        <w:rPr>
          <w:rFonts w:cs="Arial"/>
          <w:color w:val="000000" w:themeColor="text1"/>
          <w:szCs w:val="16"/>
        </w:rPr>
        <w:lastRenderedPageBreak/>
        <w:t>education agency.</w:t>
      </w:r>
      <w:r w:rsidRPr="00ED172B">
        <w:rPr>
          <w:rFonts w:cs="Arial"/>
          <w:color w:val="000000" w:themeColor="text1"/>
          <w:szCs w:val="16"/>
        </w:rPr>
        <w:br/>
      </w:r>
      <w:r w:rsidRPr="00ED172B">
        <w:rPr>
          <w:rFonts w:cs="Arial"/>
          <w:color w:val="000000" w:themeColor="text1"/>
          <w:szCs w:val="16"/>
        </w:rPr>
        <w:br/>
        <w:t xml:space="preserve">The IDEA Part C Office is now (FFY 2023) utilizing the Nevada Department of Education secure file transfer portal (SFTP) site, Big Horn, to distribute the confidential information to the LEAs and SEA. This removes any issues caused by personnel changes at the school districts, as appropriate district staff </w:t>
      </w:r>
      <w:proofErr w:type="gramStart"/>
      <w:r w:rsidRPr="00ED172B">
        <w:rPr>
          <w:rFonts w:cs="Arial"/>
          <w:color w:val="000000" w:themeColor="text1"/>
          <w:szCs w:val="16"/>
        </w:rPr>
        <w:t>are able to</w:t>
      </w:r>
      <w:proofErr w:type="gramEnd"/>
      <w:r w:rsidRPr="00ED172B">
        <w:rPr>
          <w:rFonts w:cs="Arial"/>
          <w:color w:val="000000" w:themeColor="text1"/>
          <w:szCs w:val="16"/>
        </w:rPr>
        <w:t xml:space="preserve"> download the data directly from the SFTP site.</w:t>
      </w:r>
      <w:r w:rsidRPr="00ED172B">
        <w:rPr>
          <w:rFonts w:cs="Arial"/>
          <w:color w:val="000000" w:themeColor="text1"/>
          <w:szCs w:val="16"/>
        </w:rPr>
        <w:br/>
      </w:r>
      <w:r w:rsidRPr="00ED172B">
        <w:rPr>
          <w:rFonts w:cs="Arial"/>
          <w:color w:val="000000" w:themeColor="text1"/>
          <w:szCs w:val="16"/>
        </w:rPr>
        <w:br/>
        <w:t>As LEA/SEA reporting delays in FFY21 and FFY22 were a failure of the IDEA Part C office no findings were issued. All children were reported, although late. The Nevada IDEA Part C Office has shared the notification delay information with ICC, stakeholders, OSEP, and Nevada Part B.</w:t>
      </w:r>
    </w:p>
    <w:p w14:paraId="6D5F3961" w14:textId="5880ABDD" w:rsidR="008203B4" w:rsidRPr="00ED172B" w:rsidRDefault="008203B4"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53712311" w14:textId="77777777" w:rsidTr="00986B99">
        <w:trPr>
          <w:tblHeader/>
        </w:trPr>
        <w:tc>
          <w:tcPr>
            <w:tcW w:w="1210" w:type="pct"/>
            <w:shd w:val="clear" w:color="auto" w:fill="auto"/>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shd w:val="clear" w:color="auto" w:fill="auto"/>
          </w:tcPr>
          <w:p w14:paraId="365B227C" w14:textId="33AB4B70" w:rsidR="008203B4" w:rsidRPr="00ED172B" w:rsidRDefault="008203B4" w:rsidP="00ED172B">
            <w:pPr>
              <w:jc w:val="center"/>
              <w:rPr>
                <w:rFonts w:cs="Arial"/>
                <w:color w:val="000000" w:themeColor="text1"/>
                <w:szCs w:val="16"/>
              </w:rPr>
            </w:pPr>
          </w:p>
        </w:tc>
        <w:tc>
          <w:tcPr>
            <w:tcW w:w="1270" w:type="pct"/>
            <w:shd w:val="clear" w:color="auto" w:fill="auto"/>
          </w:tcPr>
          <w:p w14:paraId="6146CAAF" w14:textId="53F3D613" w:rsidR="008203B4" w:rsidRPr="00ED172B" w:rsidRDefault="008203B4" w:rsidP="00ED172B">
            <w:pPr>
              <w:jc w:val="center"/>
              <w:rPr>
                <w:rFonts w:cs="Arial"/>
                <w:color w:val="000000" w:themeColor="text1"/>
                <w:szCs w:val="16"/>
              </w:rPr>
            </w:pPr>
          </w:p>
        </w:tc>
        <w:tc>
          <w:tcPr>
            <w:tcW w:w="1213" w:type="pct"/>
            <w:shd w:val="clear" w:color="auto" w:fill="auto"/>
          </w:tcPr>
          <w:p w14:paraId="73DA7B08" w14:textId="5CC5A5B0" w:rsidR="008203B4" w:rsidRPr="00ED172B" w:rsidRDefault="008203B4" w:rsidP="00ED172B">
            <w:pPr>
              <w:jc w:val="center"/>
              <w:rPr>
                <w:rFonts w:cs="Arial"/>
                <w:color w:val="000000" w:themeColor="text1"/>
                <w:szCs w:val="16"/>
              </w:rPr>
            </w:pPr>
          </w:p>
        </w:tc>
        <w:tc>
          <w:tcPr>
            <w:tcW w:w="1308" w:type="pct"/>
            <w:shd w:val="clear" w:color="auto" w:fill="auto"/>
          </w:tcPr>
          <w:p w14:paraId="1FAECB7C" w14:textId="288F3E14" w:rsidR="008203B4" w:rsidRPr="00ED172B" w:rsidRDefault="008203B4" w:rsidP="00CD79C5">
            <w:pPr>
              <w:rPr>
                <w:rFonts w:cs="Arial"/>
                <w:color w:val="000000" w:themeColor="text1"/>
                <w:szCs w:val="16"/>
              </w:rPr>
            </w:pPr>
          </w:p>
        </w:tc>
      </w:tr>
    </w:tbl>
    <w:p w14:paraId="1AAE6B0A" w14:textId="69E97A23" w:rsidR="008203B4" w:rsidRPr="00ED172B" w:rsidRDefault="008203B4"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67C85C4C" w14:textId="77777777" w:rsidTr="00986B99">
        <w:trPr>
          <w:tblHeader/>
        </w:trPr>
        <w:tc>
          <w:tcPr>
            <w:tcW w:w="929" w:type="pct"/>
            <w:shd w:val="clear" w:color="auto" w:fill="auto"/>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14:paraId="19DBD567" w14:textId="3CFF7EB6"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24" w:type="pct"/>
            <w:shd w:val="clear" w:color="auto" w:fill="auto"/>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shd w:val="clear" w:color="auto" w:fill="auto"/>
          </w:tcPr>
          <w:p w14:paraId="0C89AE3F" w14:textId="04BB92FE" w:rsidR="008203B4" w:rsidRPr="00ED172B" w:rsidRDefault="008203B4" w:rsidP="00D21F29">
            <w:pPr>
              <w:jc w:val="center"/>
              <w:rPr>
                <w:rFonts w:cs="Arial"/>
                <w:color w:val="000000" w:themeColor="text1"/>
                <w:szCs w:val="16"/>
              </w:rPr>
            </w:pPr>
          </w:p>
        </w:tc>
        <w:tc>
          <w:tcPr>
            <w:tcW w:w="1476" w:type="pct"/>
            <w:shd w:val="clear" w:color="auto" w:fill="auto"/>
          </w:tcPr>
          <w:p w14:paraId="18EE6A2D" w14:textId="2B02CD87" w:rsidR="008203B4" w:rsidRPr="00ED172B" w:rsidRDefault="008203B4" w:rsidP="00CD79C5">
            <w:pPr>
              <w:jc w:val="center"/>
              <w:rPr>
                <w:rFonts w:cs="Arial"/>
                <w:noProof/>
                <w:color w:val="000000" w:themeColor="text1"/>
                <w:szCs w:val="16"/>
              </w:rPr>
            </w:pPr>
          </w:p>
        </w:tc>
        <w:tc>
          <w:tcPr>
            <w:tcW w:w="1324" w:type="pct"/>
            <w:shd w:val="clear" w:color="auto" w:fill="auto"/>
          </w:tcPr>
          <w:p w14:paraId="0D6BF82C" w14:textId="259370D0" w:rsidR="008203B4" w:rsidRPr="00ED172B" w:rsidRDefault="008203B4" w:rsidP="00CD79C5">
            <w:pPr>
              <w:jc w:val="center"/>
              <w:rPr>
                <w:rFonts w:cs="Arial"/>
                <w:noProof/>
                <w:color w:val="000000" w:themeColor="text1"/>
                <w:szCs w:val="16"/>
              </w:rPr>
            </w:pPr>
          </w:p>
        </w:tc>
        <w:tc>
          <w:tcPr>
            <w:tcW w:w="1271" w:type="pct"/>
            <w:shd w:val="clear" w:color="auto" w:fill="auto"/>
          </w:tcPr>
          <w:p w14:paraId="021C6FD4" w14:textId="245B9AF4" w:rsidR="008203B4" w:rsidRPr="00ED172B" w:rsidRDefault="008203B4" w:rsidP="00CD79C5">
            <w:pPr>
              <w:jc w:val="center"/>
              <w:rPr>
                <w:rFonts w:cs="Arial"/>
                <w:noProof/>
                <w:color w:val="000000" w:themeColor="text1"/>
                <w:szCs w:val="16"/>
              </w:rPr>
            </w:pPr>
          </w:p>
        </w:tc>
      </w:tr>
      <w:tr w:rsidR="00ED172B" w:rsidRPr="00ED172B" w14:paraId="6E9AA680" w14:textId="77777777" w:rsidTr="00986B99">
        <w:tc>
          <w:tcPr>
            <w:tcW w:w="929" w:type="pct"/>
            <w:shd w:val="clear" w:color="auto" w:fill="auto"/>
          </w:tcPr>
          <w:p w14:paraId="09F9027D" w14:textId="69544FBD" w:rsidR="008203B4" w:rsidRPr="00ED172B" w:rsidRDefault="008203B4" w:rsidP="00D21F29">
            <w:pPr>
              <w:jc w:val="center"/>
              <w:rPr>
                <w:rFonts w:cs="Arial"/>
                <w:color w:val="000000" w:themeColor="text1"/>
                <w:szCs w:val="16"/>
              </w:rPr>
            </w:pPr>
          </w:p>
        </w:tc>
        <w:tc>
          <w:tcPr>
            <w:tcW w:w="1476" w:type="pct"/>
            <w:shd w:val="clear" w:color="auto" w:fill="auto"/>
          </w:tcPr>
          <w:p w14:paraId="30E1255E" w14:textId="62840257" w:rsidR="008203B4" w:rsidRPr="00ED172B" w:rsidRDefault="008203B4" w:rsidP="00CD79C5">
            <w:pPr>
              <w:jc w:val="center"/>
              <w:rPr>
                <w:rFonts w:cs="Arial"/>
                <w:noProof/>
                <w:color w:val="000000" w:themeColor="text1"/>
                <w:szCs w:val="16"/>
              </w:rPr>
            </w:pPr>
          </w:p>
        </w:tc>
        <w:tc>
          <w:tcPr>
            <w:tcW w:w="1324" w:type="pct"/>
            <w:shd w:val="clear" w:color="auto" w:fill="auto"/>
          </w:tcPr>
          <w:p w14:paraId="48634437" w14:textId="19C6DF89" w:rsidR="008203B4" w:rsidRPr="00ED172B" w:rsidRDefault="008203B4" w:rsidP="00CD79C5">
            <w:pPr>
              <w:jc w:val="center"/>
              <w:rPr>
                <w:rFonts w:cs="Arial"/>
                <w:noProof/>
                <w:color w:val="000000" w:themeColor="text1"/>
                <w:szCs w:val="16"/>
              </w:rPr>
            </w:pPr>
          </w:p>
        </w:tc>
        <w:tc>
          <w:tcPr>
            <w:tcW w:w="1271" w:type="pct"/>
            <w:shd w:val="clear" w:color="auto" w:fill="auto"/>
          </w:tcPr>
          <w:p w14:paraId="233CCD3F" w14:textId="7D7A4788" w:rsidR="008203B4" w:rsidRPr="00ED172B" w:rsidRDefault="008203B4" w:rsidP="00CD79C5">
            <w:pPr>
              <w:jc w:val="center"/>
              <w:rPr>
                <w:rFonts w:cs="Arial"/>
                <w:noProof/>
                <w:color w:val="000000" w:themeColor="text1"/>
                <w:szCs w:val="16"/>
              </w:rPr>
            </w:pPr>
          </w:p>
        </w:tc>
      </w:tr>
      <w:tr w:rsidR="00ED172B" w:rsidRPr="00ED172B" w14:paraId="6101D2C3" w14:textId="77777777" w:rsidTr="00986B99">
        <w:tc>
          <w:tcPr>
            <w:tcW w:w="929" w:type="pct"/>
            <w:shd w:val="clear" w:color="auto" w:fill="auto"/>
          </w:tcPr>
          <w:p w14:paraId="3DF27AAE" w14:textId="57173885" w:rsidR="008203B4" w:rsidRPr="00ED172B" w:rsidRDefault="008203B4" w:rsidP="00D21F29">
            <w:pPr>
              <w:jc w:val="center"/>
              <w:rPr>
                <w:rFonts w:cs="Arial"/>
                <w:color w:val="000000" w:themeColor="text1"/>
                <w:szCs w:val="16"/>
              </w:rPr>
            </w:pPr>
          </w:p>
        </w:tc>
        <w:tc>
          <w:tcPr>
            <w:tcW w:w="1476" w:type="pct"/>
            <w:shd w:val="clear" w:color="auto" w:fill="auto"/>
          </w:tcPr>
          <w:p w14:paraId="1A593A8F" w14:textId="30E039EF" w:rsidR="008203B4" w:rsidRPr="00ED172B" w:rsidRDefault="008203B4" w:rsidP="00CD79C5">
            <w:pPr>
              <w:jc w:val="center"/>
              <w:rPr>
                <w:rFonts w:cs="Arial"/>
                <w:noProof/>
                <w:color w:val="000000" w:themeColor="text1"/>
                <w:szCs w:val="16"/>
              </w:rPr>
            </w:pPr>
          </w:p>
        </w:tc>
        <w:tc>
          <w:tcPr>
            <w:tcW w:w="1324" w:type="pct"/>
            <w:shd w:val="clear" w:color="auto" w:fill="auto"/>
          </w:tcPr>
          <w:p w14:paraId="6C282F27" w14:textId="22019EAC" w:rsidR="008203B4" w:rsidRPr="00ED172B" w:rsidRDefault="008203B4" w:rsidP="00CD79C5">
            <w:pPr>
              <w:jc w:val="center"/>
              <w:rPr>
                <w:rFonts w:cs="Arial"/>
                <w:noProof/>
                <w:color w:val="000000" w:themeColor="text1"/>
                <w:szCs w:val="16"/>
              </w:rPr>
            </w:pPr>
          </w:p>
        </w:tc>
        <w:tc>
          <w:tcPr>
            <w:tcW w:w="1271" w:type="pct"/>
            <w:shd w:val="clear" w:color="auto" w:fill="auto"/>
          </w:tcPr>
          <w:p w14:paraId="5CA5D5A4" w14:textId="3330E222" w:rsidR="008203B4" w:rsidRPr="00ED172B" w:rsidRDefault="008203B4" w:rsidP="00CD79C5">
            <w:pPr>
              <w:jc w:val="center"/>
              <w:rPr>
                <w:rFonts w:cs="Arial"/>
                <w:noProof/>
                <w:color w:val="000000" w:themeColor="text1"/>
                <w:szCs w:val="16"/>
              </w:rPr>
            </w:pPr>
          </w:p>
        </w:tc>
      </w:tr>
      <w:tr w:rsidR="00422BEE" w:rsidRPr="00ED172B" w14:paraId="09E2C04F" w14:textId="77777777" w:rsidTr="00986B99">
        <w:tc>
          <w:tcPr>
            <w:tcW w:w="929" w:type="pct"/>
            <w:shd w:val="clear" w:color="auto" w:fill="auto"/>
          </w:tcPr>
          <w:p w14:paraId="00537DC9" w14:textId="44D75868" w:rsidR="00422BEE" w:rsidRPr="00ED172B" w:rsidRDefault="00422BEE" w:rsidP="00D21F29">
            <w:pPr>
              <w:jc w:val="center"/>
              <w:rPr>
                <w:rFonts w:cs="Arial"/>
                <w:color w:val="000000" w:themeColor="text1"/>
                <w:szCs w:val="16"/>
              </w:rPr>
            </w:pPr>
          </w:p>
        </w:tc>
        <w:tc>
          <w:tcPr>
            <w:tcW w:w="1476" w:type="pct"/>
            <w:shd w:val="clear" w:color="auto" w:fill="auto"/>
          </w:tcPr>
          <w:p w14:paraId="1E0D45D6" w14:textId="3A34773C" w:rsidR="00422BEE" w:rsidRPr="00ED172B" w:rsidRDefault="00422BEE" w:rsidP="00422BEE">
            <w:pPr>
              <w:jc w:val="center"/>
              <w:rPr>
                <w:rFonts w:cs="Arial"/>
                <w:color w:val="000000" w:themeColor="text1"/>
                <w:szCs w:val="16"/>
              </w:rPr>
            </w:pPr>
          </w:p>
        </w:tc>
        <w:tc>
          <w:tcPr>
            <w:tcW w:w="1324" w:type="pct"/>
            <w:shd w:val="clear" w:color="auto" w:fill="auto"/>
          </w:tcPr>
          <w:p w14:paraId="7E3CF6F6" w14:textId="661AA01A" w:rsidR="00422BEE" w:rsidRPr="00ED172B" w:rsidRDefault="00422BEE" w:rsidP="00422BEE">
            <w:pPr>
              <w:jc w:val="center"/>
              <w:rPr>
                <w:rFonts w:cs="Arial"/>
                <w:color w:val="000000" w:themeColor="text1"/>
                <w:szCs w:val="16"/>
              </w:rPr>
            </w:pPr>
          </w:p>
        </w:tc>
        <w:tc>
          <w:tcPr>
            <w:tcW w:w="1271" w:type="pct"/>
            <w:shd w:val="clear" w:color="auto" w:fill="auto"/>
          </w:tcPr>
          <w:p w14:paraId="03DB29E4" w14:textId="4909658A" w:rsidR="00422BEE" w:rsidRPr="00ED172B" w:rsidRDefault="00422BEE" w:rsidP="00422BEE">
            <w:pPr>
              <w:jc w:val="center"/>
              <w:rPr>
                <w:rFonts w:cs="Arial"/>
                <w:color w:val="000000" w:themeColor="text1"/>
                <w:szCs w:val="16"/>
              </w:rPr>
            </w:pPr>
          </w:p>
        </w:tc>
      </w:tr>
      <w:tr w:rsidR="00422BEE" w:rsidRPr="00ED172B" w14:paraId="315C7B6E" w14:textId="77777777" w:rsidTr="00986B99">
        <w:tc>
          <w:tcPr>
            <w:tcW w:w="929" w:type="pct"/>
            <w:shd w:val="clear" w:color="auto" w:fill="auto"/>
          </w:tcPr>
          <w:p w14:paraId="4D88A348" w14:textId="7FDC3505" w:rsidR="00422BEE" w:rsidRPr="00ED172B" w:rsidRDefault="00422BEE" w:rsidP="00D21F29">
            <w:pPr>
              <w:jc w:val="center"/>
              <w:rPr>
                <w:rFonts w:cs="Arial"/>
                <w:color w:val="000000" w:themeColor="text1"/>
                <w:szCs w:val="16"/>
              </w:rPr>
            </w:pPr>
          </w:p>
        </w:tc>
        <w:tc>
          <w:tcPr>
            <w:tcW w:w="1476" w:type="pct"/>
            <w:shd w:val="clear" w:color="auto" w:fill="auto"/>
          </w:tcPr>
          <w:p w14:paraId="0DECE723" w14:textId="533FA631" w:rsidR="00422BEE" w:rsidRPr="00ED172B" w:rsidRDefault="00422BEE" w:rsidP="00422BEE">
            <w:pPr>
              <w:jc w:val="center"/>
              <w:rPr>
                <w:rFonts w:cs="Arial"/>
                <w:color w:val="000000" w:themeColor="text1"/>
                <w:szCs w:val="16"/>
              </w:rPr>
            </w:pPr>
          </w:p>
        </w:tc>
        <w:tc>
          <w:tcPr>
            <w:tcW w:w="1324" w:type="pct"/>
            <w:shd w:val="clear" w:color="auto" w:fill="auto"/>
          </w:tcPr>
          <w:p w14:paraId="546BE55B" w14:textId="3A092DCE" w:rsidR="00422BEE" w:rsidRPr="00ED172B" w:rsidRDefault="00422BEE" w:rsidP="00422BEE">
            <w:pPr>
              <w:jc w:val="center"/>
              <w:rPr>
                <w:rFonts w:cs="Arial"/>
                <w:color w:val="000000" w:themeColor="text1"/>
                <w:szCs w:val="16"/>
              </w:rPr>
            </w:pPr>
          </w:p>
        </w:tc>
        <w:tc>
          <w:tcPr>
            <w:tcW w:w="1271" w:type="pct"/>
            <w:shd w:val="clear" w:color="auto" w:fill="auto"/>
          </w:tcPr>
          <w:p w14:paraId="4A4AC460" w14:textId="6246F9AE" w:rsidR="00422BEE" w:rsidRPr="00ED172B" w:rsidRDefault="00422BEE" w:rsidP="00422BEE">
            <w:pPr>
              <w:jc w:val="center"/>
              <w:rPr>
                <w:rFonts w:cs="Arial"/>
                <w:color w:val="000000" w:themeColor="text1"/>
                <w:szCs w:val="16"/>
              </w:rPr>
            </w:pPr>
          </w:p>
        </w:tc>
      </w:tr>
    </w:tbl>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38009665" w14:textId="30ACD878" w:rsidR="008203B4" w:rsidRPr="00ED172B" w:rsidRDefault="008203B4"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3B4843EA" w14:textId="2A07CA87" w:rsidR="004C1CEE" w:rsidRPr="00ED172B" w:rsidRDefault="004C1CEE" w:rsidP="00027F39">
      <w:pPr>
        <w:rPr>
          <w:color w:val="000000" w:themeColor="text1"/>
        </w:rPr>
      </w:pP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8203B4" w:rsidP="00320806">
      <w:pPr>
        <w:rPr>
          <w:color w:val="000000" w:themeColor="text1"/>
        </w:rPr>
      </w:pPr>
    </w:p>
    <w:p w14:paraId="737AE102" w14:textId="64B3C8F0" w:rsidR="008203B4" w:rsidRPr="00A40EE1" w:rsidRDefault="000D0117" w:rsidP="007B0787">
      <w:pPr>
        <w:pStyle w:val="Heading2"/>
      </w:pPr>
      <w:r w:rsidRPr="00A40EE1">
        <w:t xml:space="preserve">8B - </w:t>
      </w:r>
      <w:r w:rsidR="008203B4" w:rsidRPr="00A40EE1">
        <w:t>Required Actions</w:t>
      </w:r>
    </w:p>
    <w:p w14:paraId="4C170AC1" w14:textId="4A171C6A" w:rsidR="008203B4" w:rsidRPr="00ED172B" w:rsidRDefault="00320806" w:rsidP="00320806">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FEEB595" w14:textId="77777777" w:rsidR="00D77E41" w:rsidRPr="00ED172B" w:rsidRDefault="00D77E41">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 xml:space="preserve">A. Developed an IFSP with transition steps and services at least 90 days, and at the discretion of all parties, not more than nine months, prior to the toddler’s third </w:t>
      </w:r>
      <w:proofErr w:type="gramStart"/>
      <w:r w:rsidRPr="00ED172B">
        <w:rPr>
          <w:color w:val="000000" w:themeColor="text1"/>
          <w:szCs w:val="16"/>
        </w:rPr>
        <w:t>birthday;</w:t>
      </w:r>
      <w:proofErr w:type="gramEnd"/>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61509B8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are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CDA386C"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5DB145D" w14:textId="77777777" w:rsidR="00D77E41" w:rsidRPr="00ED172B" w:rsidRDefault="00D77E41" w:rsidP="00D77E41">
      <w:pPr>
        <w:rPr>
          <w:color w:val="000000" w:themeColor="text1"/>
          <w:szCs w:val="16"/>
        </w:rPr>
      </w:pPr>
      <w:r w:rsidRPr="00ED172B">
        <w:rPr>
          <w:color w:val="000000" w:themeColor="text1"/>
          <w:szCs w:val="16"/>
        </w:rPr>
        <w:t xml:space="preserve">Indicator 8C: Do not include in the </w:t>
      </w:r>
      <w:proofErr w:type="gramStart"/>
      <w:r w:rsidRPr="00ED172B">
        <w:rPr>
          <w:color w:val="000000" w:themeColor="text1"/>
          <w:szCs w:val="16"/>
        </w:rPr>
        <w:t>calculation, but</w:t>
      </w:r>
      <w:proofErr w:type="gramEnd"/>
      <w:r w:rsidRPr="00ED172B">
        <w:rPr>
          <w:color w:val="000000" w:themeColor="text1"/>
          <w:szCs w:val="16"/>
        </w:rPr>
        <w:t xml:space="preserve"> provide a separate number for those toddlers for whom the parent did not provide approval for the transition conference.</w:t>
      </w:r>
    </w:p>
    <w:p w14:paraId="30A90D40" w14:textId="747BAC37" w:rsidR="00D77E41" w:rsidRPr="00ED172B" w:rsidRDefault="00D77E41" w:rsidP="00D77E41">
      <w:pPr>
        <w:rPr>
          <w:color w:val="000000" w:themeColor="text1"/>
          <w:szCs w:val="16"/>
        </w:rPr>
      </w:pPr>
      <w:r w:rsidRPr="00ED172B">
        <w:rPr>
          <w:color w:val="000000" w:themeColor="text1"/>
          <w:szCs w:val="16"/>
        </w:rPr>
        <w:t xml:space="preserve">Indicators 8A, 8B, and 8C: Provide detailed information about the timely correction of </w:t>
      </w:r>
      <w:r w:rsidR="00CF4EC7" w:rsidRPr="009C5A4A">
        <w:rPr>
          <w:color w:val="000000" w:themeColor="text1"/>
          <w:szCs w:val="16"/>
        </w:rPr>
        <w:t>child-specific and regulatory/systemic</w:t>
      </w:r>
      <w:r w:rsidR="00CF4EC7" w:rsidRPr="00ED172B">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04A386EC"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30A17130" w14:textId="77777777" w:rsidTr="00A40EE1">
        <w:trPr>
          <w:trHeight w:val="350"/>
          <w:tblHeader/>
        </w:trPr>
        <w:tc>
          <w:tcPr>
            <w:tcW w:w="4285" w:type="pct"/>
            <w:tcBorders>
              <w:bottom w:val="single" w:sz="4" w:space="0" w:color="auto"/>
            </w:tcBorders>
            <w:shd w:val="clear" w:color="auto" w:fill="auto"/>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shd w:val="clear" w:color="auto" w:fill="auto"/>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178C8059" w14:textId="6EB88F64" w:rsidR="000378F3" w:rsidRPr="00ED172B" w:rsidRDefault="000378F3" w:rsidP="000378F3">
            <w:pPr>
              <w:jc w:val="center"/>
              <w:rPr>
                <w:color w:val="000000" w:themeColor="text1"/>
              </w:rPr>
            </w:pPr>
            <w:r w:rsidRPr="00ED172B">
              <w:rPr>
                <w:color w:val="000000" w:themeColor="text1"/>
              </w:rPr>
              <w:t>71.40%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2758FAB4" w14:textId="77777777" w:rsidTr="00A40EE1">
        <w:trPr>
          <w:trHeight w:val="350"/>
        </w:trPr>
        <w:tc>
          <w:tcPr>
            <w:tcW w:w="317" w:type="pct"/>
            <w:tcBorders>
              <w:bottom w:val="single" w:sz="4" w:space="0" w:color="auto"/>
            </w:tcBorders>
            <w:shd w:val="clear" w:color="auto" w:fill="auto"/>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2021</w:t>
            </w:r>
          </w:p>
        </w:tc>
      </w:tr>
      <w:tr w:rsidR="00ED172B" w:rsidRPr="00ED172B" w14:paraId="7BEE33EE" w14:textId="77777777" w:rsidTr="00A40EE1">
        <w:trPr>
          <w:trHeight w:val="357"/>
        </w:trPr>
        <w:tc>
          <w:tcPr>
            <w:tcW w:w="317" w:type="pct"/>
            <w:shd w:val="clear" w:color="auto" w:fill="auto"/>
          </w:tcPr>
          <w:p w14:paraId="1B969246" w14:textId="74F4A18D"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shd w:val="clear" w:color="auto" w:fill="auto"/>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shd w:val="clear" w:color="auto" w:fill="auto"/>
          </w:tcPr>
          <w:p w14:paraId="7C4B21B3"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shd w:val="clear" w:color="auto" w:fill="auto"/>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98.51%</w:t>
            </w:r>
          </w:p>
        </w:tc>
        <w:tc>
          <w:tcPr>
            <w:tcW w:w="937" w:type="pct"/>
            <w:tcBorders>
              <w:bottom w:val="single" w:sz="4" w:space="0" w:color="auto"/>
            </w:tcBorders>
            <w:shd w:val="clear" w:color="auto" w:fill="auto"/>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97.49%</w:t>
            </w:r>
          </w:p>
        </w:tc>
        <w:tc>
          <w:tcPr>
            <w:tcW w:w="937" w:type="pct"/>
            <w:tcBorders>
              <w:bottom w:val="single" w:sz="4" w:space="0" w:color="auto"/>
            </w:tcBorders>
            <w:shd w:val="clear" w:color="auto" w:fill="auto"/>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99.92%</w:t>
            </w:r>
          </w:p>
        </w:tc>
        <w:tc>
          <w:tcPr>
            <w:tcW w:w="937" w:type="pct"/>
            <w:tcBorders>
              <w:bottom w:val="single" w:sz="4" w:space="0" w:color="auto"/>
            </w:tcBorders>
            <w:shd w:val="clear" w:color="auto" w:fill="auto"/>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97.96%</w:t>
            </w:r>
          </w:p>
        </w:tc>
        <w:tc>
          <w:tcPr>
            <w:tcW w:w="937" w:type="pct"/>
            <w:tcBorders>
              <w:bottom w:val="single" w:sz="4" w:space="0" w:color="auto"/>
            </w:tcBorders>
            <w:shd w:val="clear" w:color="auto" w:fill="auto"/>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94.56%</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1912"/>
        <w:gridCol w:w="2041"/>
        <w:gridCol w:w="2042"/>
        <w:gridCol w:w="2042"/>
      </w:tblGrid>
      <w:tr w:rsidR="00C843AF" w:rsidRPr="00ED172B" w14:paraId="4A0A94D5" w14:textId="2110C8A4" w:rsidTr="00E415ED">
        <w:trPr>
          <w:trHeight w:val="328"/>
        </w:trPr>
        <w:tc>
          <w:tcPr>
            <w:tcW w:w="318" w:type="pct"/>
            <w:tcBorders>
              <w:bottom w:val="single" w:sz="4" w:space="0" w:color="auto"/>
            </w:tcBorders>
            <w:shd w:val="clear" w:color="auto" w:fill="auto"/>
          </w:tcPr>
          <w:p w14:paraId="313F5767" w14:textId="77777777" w:rsidR="00C843AF" w:rsidRPr="00ED172B" w:rsidRDefault="00C843AF" w:rsidP="00A74C59">
            <w:pPr>
              <w:jc w:val="center"/>
              <w:rPr>
                <w:b/>
                <w:color w:val="000000" w:themeColor="text1"/>
                <w:szCs w:val="16"/>
              </w:rPr>
            </w:pPr>
            <w:r w:rsidRPr="00ED172B">
              <w:rPr>
                <w:b/>
                <w:color w:val="000000" w:themeColor="text1"/>
                <w:szCs w:val="16"/>
              </w:rPr>
              <w:t>FFY</w:t>
            </w:r>
          </w:p>
        </w:tc>
        <w:tc>
          <w:tcPr>
            <w:tcW w:w="1115" w:type="pct"/>
            <w:shd w:val="clear" w:color="auto" w:fill="auto"/>
            <w:vAlign w:val="center"/>
          </w:tcPr>
          <w:p w14:paraId="6608DBF0" w14:textId="3185DA2A" w:rsidR="00C843AF" w:rsidRPr="00ED172B" w:rsidRDefault="00C843AF" w:rsidP="00A74C59">
            <w:pPr>
              <w:jc w:val="center"/>
              <w:rPr>
                <w:b/>
                <w:color w:val="000000" w:themeColor="text1"/>
                <w:szCs w:val="16"/>
              </w:rPr>
            </w:pPr>
            <w:r w:rsidRPr="00ED172B">
              <w:rPr>
                <w:rFonts w:cs="Arial"/>
                <w:b/>
                <w:color w:val="000000" w:themeColor="text1"/>
                <w:szCs w:val="16"/>
              </w:rPr>
              <w:t>2022</w:t>
            </w:r>
          </w:p>
        </w:tc>
        <w:tc>
          <w:tcPr>
            <w:tcW w:w="1189" w:type="pct"/>
          </w:tcPr>
          <w:p w14:paraId="1BEDEEFC" w14:textId="6DD58D98" w:rsidR="00C843AF" w:rsidRPr="00ED172B" w:rsidRDefault="00C843AF" w:rsidP="00A74C59">
            <w:pPr>
              <w:jc w:val="center"/>
              <w:rPr>
                <w:rFonts w:cs="Arial"/>
                <w:b/>
                <w:color w:val="000000" w:themeColor="text1"/>
                <w:szCs w:val="16"/>
              </w:rPr>
            </w:pPr>
            <w:r>
              <w:rPr>
                <w:rFonts w:cs="Arial"/>
                <w:b/>
                <w:color w:val="000000" w:themeColor="text1"/>
                <w:szCs w:val="16"/>
              </w:rPr>
              <w:t>2023</w:t>
            </w:r>
          </w:p>
        </w:tc>
        <w:tc>
          <w:tcPr>
            <w:tcW w:w="1189" w:type="pct"/>
          </w:tcPr>
          <w:p w14:paraId="11F5F4E5" w14:textId="34A5E91F" w:rsidR="00C843AF" w:rsidRPr="00ED172B" w:rsidRDefault="00C843AF" w:rsidP="00A74C59">
            <w:pPr>
              <w:jc w:val="center"/>
              <w:rPr>
                <w:rFonts w:cs="Arial"/>
                <w:b/>
                <w:color w:val="000000" w:themeColor="text1"/>
                <w:szCs w:val="16"/>
              </w:rPr>
            </w:pPr>
            <w:r w:rsidRPr="005A1B4F">
              <w:rPr>
                <w:rFonts w:cs="Arial"/>
                <w:b/>
                <w:color w:val="000000" w:themeColor="text1"/>
                <w:szCs w:val="16"/>
              </w:rPr>
              <w:t>2024</w:t>
            </w:r>
          </w:p>
        </w:tc>
        <w:tc>
          <w:tcPr>
            <w:tcW w:w="1189" w:type="pct"/>
          </w:tcPr>
          <w:p w14:paraId="23C0A346" w14:textId="5BED0920" w:rsidR="00C843AF" w:rsidRPr="00ED172B" w:rsidRDefault="00C843AF" w:rsidP="00A74C59">
            <w:pPr>
              <w:jc w:val="center"/>
              <w:rPr>
                <w:rFonts w:cs="Arial"/>
                <w:b/>
                <w:color w:val="000000" w:themeColor="text1"/>
                <w:szCs w:val="16"/>
              </w:rPr>
            </w:pPr>
            <w:r w:rsidRPr="005A1B4F">
              <w:rPr>
                <w:rFonts w:cs="Arial"/>
                <w:b/>
                <w:color w:val="000000" w:themeColor="text1"/>
                <w:szCs w:val="16"/>
              </w:rPr>
              <w:t>2025</w:t>
            </w:r>
          </w:p>
        </w:tc>
      </w:tr>
      <w:tr w:rsidR="00C843AF" w:rsidRPr="00ED172B" w14:paraId="330A4207" w14:textId="28309058" w:rsidTr="00E415ED">
        <w:trPr>
          <w:trHeight w:val="334"/>
        </w:trPr>
        <w:tc>
          <w:tcPr>
            <w:tcW w:w="318" w:type="pct"/>
            <w:shd w:val="clear" w:color="auto" w:fill="auto"/>
          </w:tcPr>
          <w:p w14:paraId="12FC7A89" w14:textId="77777777" w:rsidR="00C843AF" w:rsidRPr="00ED172B" w:rsidRDefault="00C843AF" w:rsidP="00D21F29">
            <w:pPr>
              <w:jc w:val="center"/>
              <w:rPr>
                <w:color w:val="000000" w:themeColor="text1"/>
                <w:szCs w:val="16"/>
              </w:rPr>
            </w:pPr>
            <w:r w:rsidRPr="00ED172B">
              <w:rPr>
                <w:color w:val="000000" w:themeColor="text1"/>
                <w:szCs w:val="16"/>
              </w:rPr>
              <w:t>Target</w:t>
            </w:r>
          </w:p>
        </w:tc>
        <w:tc>
          <w:tcPr>
            <w:tcW w:w="1115" w:type="pct"/>
            <w:shd w:val="clear" w:color="auto" w:fill="auto"/>
          </w:tcPr>
          <w:p w14:paraId="7AF5945C" w14:textId="2C6978AD" w:rsidR="00C843AF" w:rsidRPr="00ED172B" w:rsidRDefault="00C843AF" w:rsidP="00A74C59">
            <w:pPr>
              <w:jc w:val="center"/>
              <w:rPr>
                <w:color w:val="000000" w:themeColor="text1"/>
                <w:szCs w:val="16"/>
              </w:rPr>
            </w:pPr>
            <w:r w:rsidRPr="00ED172B">
              <w:rPr>
                <w:color w:val="000000" w:themeColor="text1"/>
                <w:szCs w:val="16"/>
              </w:rPr>
              <w:t>100%</w:t>
            </w:r>
          </w:p>
        </w:tc>
        <w:tc>
          <w:tcPr>
            <w:tcW w:w="1189" w:type="pct"/>
          </w:tcPr>
          <w:p w14:paraId="6A1E3CBC" w14:textId="7AF93675" w:rsidR="00C843AF" w:rsidRPr="00ED172B" w:rsidRDefault="00C843AF" w:rsidP="00A74C59">
            <w:pPr>
              <w:jc w:val="center"/>
              <w:rPr>
                <w:color w:val="000000" w:themeColor="text1"/>
                <w:szCs w:val="16"/>
              </w:rPr>
            </w:pPr>
            <w:r>
              <w:rPr>
                <w:rFonts w:cs="Arial"/>
                <w:color w:val="000000" w:themeColor="text1"/>
                <w:szCs w:val="16"/>
              </w:rPr>
              <w:t>100%</w:t>
            </w:r>
          </w:p>
        </w:tc>
        <w:tc>
          <w:tcPr>
            <w:tcW w:w="1189" w:type="pct"/>
          </w:tcPr>
          <w:p w14:paraId="250CDE0D" w14:textId="2C29838D" w:rsidR="00C843AF" w:rsidRPr="00ED172B" w:rsidRDefault="00C843AF" w:rsidP="00A74C59">
            <w:pPr>
              <w:jc w:val="center"/>
              <w:rPr>
                <w:color w:val="000000" w:themeColor="text1"/>
                <w:szCs w:val="16"/>
              </w:rPr>
            </w:pPr>
            <w:r w:rsidRPr="005F5F3C">
              <w:rPr>
                <w:rFonts w:cs="Arial"/>
                <w:color w:val="000000" w:themeColor="text1"/>
                <w:szCs w:val="16"/>
              </w:rPr>
              <w:t>100%</w:t>
            </w:r>
          </w:p>
        </w:tc>
        <w:tc>
          <w:tcPr>
            <w:tcW w:w="1189" w:type="pct"/>
          </w:tcPr>
          <w:p w14:paraId="79AF65D2" w14:textId="1AB28DA5" w:rsidR="00C843AF" w:rsidRPr="00ED172B" w:rsidRDefault="00C843AF" w:rsidP="00A74C59">
            <w:pPr>
              <w:jc w:val="center"/>
              <w:rPr>
                <w:color w:val="000000" w:themeColor="text1"/>
                <w:szCs w:val="16"/>
              </w:rPr>
            </w:pPr>
            <w:r w:rsidRPr="005F5F3C">
              <w:rPr>
                <w:rFonts w:cs="Arial"/>
                <w:color w:val="000000" w:themeColor="text1"/>
                <w:szCs w:val="16"/>
              </w:rPr>
              <w:t>100%</w:t>
            </w:r>
          </w:p>
        </w:tc>
      </w:tr>
    </w:tbl>
    <w:p w14:paraId="4A23C4F7" w14:textId="107BBCF7" w:rsidR="003C1AB9" w:rsidRPr="00ED172B" w:rsidRDefault="00F22D09">
      <w:pPr>
        <w:rPr>
          <w:b/>
          <w:color w:val="000000" w:themeColor="text1"/>
        </w:rPr>
      </w:pPr>
      <w:r>
        <w:rPr>
          <w:b/>
          <w:color w:val="000000" w:themeColor="text1"/>
        </w:rPr>
        <w:t>FFY 2022 SPP/APR Data</w:t>
      </w:r>
    </w:p>
    <w:p w14:paraId="4035DB23" w14:textId="07CE3251" w:rsidR="00D3572A" w:rsidRPr="00ED172B" w:rsidRDefault="00D3572A">
      <w:pPr>
        <w:rPr>
          <w:b/>
          <w:color w:val="000000" w:themeColor="text1"/>
          <w:szCs w:val="16"/>
        </w:rPr>
      </w:pPr>
      <w:r w:rsidRPr="00ED172B">
        <w:rPr>
          <w:b/>
          <w:color w:val="000000" w:themeColor="text1"/>
          <w:szCs w:val="16"/>
        </w:rPr>
        <w:t>Data reflect only those toddlers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shd w:val="clear" w:color="auto" w:fill="auto"/>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14:paraId="658290B6" w14:textId="760D102A" w:rsidR="00781A26" w:rsidRPr="00ED172B" w:rsidRDefault="00CD74B5" w:rsidP="00781A26">
            <w:pPr>
              <w:jc w:val="center"/>
              <w:rPr>
                <w:b/>
                <w:color w:val="000000" w:themeColor="text1"/>
                <w:szCs w:val="16"/>
              </w:rPr>
            </w:pPr>
            <w:r>
              <w:rPr>
                <w:rFonts w:cs="Arial"/>
                <w:b/>
                <w:color w:val="000000" w:themeColor="text1"/>
                <w:szCs w:val="16"/>
              </w:rPr>
              <w:t>FFY 2021 Data</w:t>
            </w:r>
          </w:p>
        </w:tc>
        <w:tc>
          <w:tcPr>
            <w:tcW w:w="542" w:type="pct"/>
            <w:shd w:val="clear" w:color="auto" w:fill="auto"/>
            <w:vAlign w:val="bottom"/>
          </w:tcPr>
          <w:p w14:paraId="5CF67A25" w14:textId="6E32238D" w:rsidR="00781A26" w:rsidRPr="00ED172B" w:rsidRDefault="00F22D09" w:rsidP="00781A26">
            <w:pPr>
              <w:jc w:val="center"/>
              <w:rPr>
                <w:b/>
                <w:color w:val="000000" w:themeColor="text1"/>
                <w:szCs w:val="16"/>
              </w:rPr>
            </w:pPr>
            <w:r>
              <w:rPr>
                <w:rFonts w:cs="Arial"/>
                <w:b/>
                <w:color w:val="000000" w:themeColor="text1"/>
                <w:szCs w:val="16"/>
              </w:rPr>
              <w:t>FFY 2022 Target</w:t>
            </w:r>
          </w:p>
        </w:tc>
        <w:tc>
          <w:tcPr>
            <w:tcW w:w="542" w:type="pct"/>
            <w:shd w:val="clear" w:color="auto" w:fill="auto"/>
            <w:vAlign w:val="bottom"/>
          </w:tcPr>
          <w:p w14:paraId="76B8CA16" w14:textId="148AC1A6" w:rsidR="00781A26" w:rsidRPr="00ED172B" w:rsidRDefault="00F22D09" w:rsidP="00781A26">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shd w:val="clear" w:color="auto" w:fill="auto"/>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1,403</w:t>
            </w:r>
          </w:p>
        </w:tc>
        <w:tc>
          <w:tcPr>
            <w:tcW w:w="751" w:type="pct"/>
            <w:shd w:val="clear" w:color="auto" w:fill="auto"/>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1,596</w:t>
            </w:r>
          </w:p>
        </w:tc>
        <w:tc>
          <w:tcPr>
            <w:tcW w:w="625" w:type="pct"/>
            <w:shd w:val="clear" w:color="auto" w:fill="auto"/>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94.56%</w:t>
            </w:r>
          </w:p>
        </w:tc>
        <w:tc>
          <w:tcPr>
            <w:tcW w:w="542" w:type="pct"/>
            <w:shd w:val="clear" w:color="auto" w:fill="auto"/>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shd w:val="clear" w:color="auto" w:fill="auto"/>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99.59%</w:t>
            </w:r>
          </w:p>
        </w:tc>
        <w:tc>
          <w:tcPr>
            <w:tcW w:w="542" w:type="pct"/>
            <w:shd w:val="clear" w:color="auto" w:fill="auto"/>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shd w:val="clear" w:color="auto" w:fill="auto"/>
          </w:tcPr>
          <w:p w14:paraId="36D4F9B5" w14:textId="3DEAC2DD" w:rsidR="00781A26" w:rsidRPr="00ED172B" w:rsidRDefault="00320806" w:rsidP="00027F39">
            <w:pPr>
              <w:jc w:val="center"/>
              <w:rPr>
                <w:color w:val="000000" w:themeColor="text1"/>
              </w:rPr>
            </w:pPr>
            <w:r w:rsidRPr="00ED172B">
              <w:rPr>
                <w:color w:val="000000" w:themeColor="text1"/>
              </w:rPr>
              <w:t>No Slippage</w:t>
            </w:r>
          </w:p>
        </w:tc>
      </w:tr>
    </w:tbl>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120</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67</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After accounting for services delayed due to family circumstances, it was found that of the 1403 children reviewed (87.9%) received their transition conference within the required timeline. For the 193 children who did not receive timely transitions, the reasons for delay include scheduling conflicts, personnel shortages, program closures, and increased caseloads. Included in the 193 delays are 177 circumstances attributable to families, with 120 declines of transition conference from families and 67 instances of delay due to family circumstances. Examples of family circumstances resulting in untimely transition conferences, included child/family illness, family schedules, late referrals, declining transition conference visits initially then conferences requested that are beyond the timeline.</w:t>
      </w:r>
      <w:r w:rsidRPr="00ED172B">
        <w:rPr>
          <w:color w:val="000000" w:themeColor="text1"/>
          <w:szCs w:val="16"/>
        </w:rPr>
        <w:br/>
      </w:r>
      <w:r w:rsidRPr="00ED172B">
        <w:rPr>
          <w:color w:val="000000" w:themeColor="text1"/>
          <w:szCs w:val="16"/>
        </w:rPr>
        <w:br/>
        <w:t>Nevada's EI system was greatly impacted by the loss of two (2) EI programs who terminated their service agreements within this fiscal reporting year. One (1) program in the northwestern (urban) region terminated their service agreement in November 2022 and the second program in the southern (urban) region terminated their service agreement in May 2023. These closures affected the system statewide. In fall of 2022, when the first program terminated their service agreement, one (1) program of four (4) opted out of receiving child records transferred due to already existing heavy caseloads. Of the 131 children with active IFSPs, 30 families chose to exit the NEIS system, leaving 101 active records to be transferred into three (3) programs. The single regional state program absorbed 61.4% of those records. All active records were reviewed by ADSD Quality Assurance for any applicable compensatory services and contacted families for their preference of program or if they wanted to continue services. Records were also reviewed by receiving programs to ensure continuity of services.</w:t>
      </w:r>
      <w:r w:rsidRPr="00ED172B">
        <w:rPr>
          <w:color w:val="000000" w:themeColor="text1"/>
          <w:szCs w:val="16"/>
        </w:rPr>
        <w:br/>
      </w:r>
      <w:r w:rsidRPr="00ED172B">
        <w:rPr>
          <w:color w:val="000000" w:themeColor="text1"/>
          <w:szCs w:val="16"/>
        </w:rPr>
        <w:br/>
        <w:t>The second program closure in early May 2023, only six months after the first, impacted the southern region of the state. Although one new program had joined this region of the NEIS system in February 2023, they did not receive any of the transferred child records as they were capped for new referrals during their onboarding timeframe. One program in the south opted out of receiving transferred records during the second closure as they were dealing with staff turn-over, heavy caseloads, and upcoming scheduled IDEA Part C Comprehensive Monitoring. Three programs in the south absorbed the caseload of 146 children, 56% of which went to the single regional state program.</w:t>
      </w:r>
      <w:r w:rsidRPr="00ED172B">
        <w:rPr>
          <w:color w:val="000000" w:themeColor="text1"/>
          <w:szCs w:val="16"/>
        </w:rPr>
        <w:br/>
      </w:r>
      <w:r w:rsidRPr="00ED172B">
        <w:rPr>
          <w:color w:val="000000" w:themeColor="text1"/>
          <w:szCs w:val="16"/>
        </w:rPr>
        <w:br/>
        <w:t xml:space="preserve">As a result of the two (2) programs' termination, programs statewide, </w:t>
      </w:r>
      <w:proofErr w:type="gramStart"/>
      <w:r w:rsidRPr="00ED172B">
        <w:rPr>
          <w:color w:val="000000" w:themeColor="text1"/>
          <w:szCs w:val="16"/>
        </w:rPr>
        <w:t>with the exception of</w:t>
      </w:r>
      <w:proofErr w:type="gramEnd"/>
      <w:r w:rsidRPr="00ED172B">
        <w:rPr>
          <w:color w:val="000000" w:themeColor="text1"/>
          <w:szCs w:val="16"/>
        </w:rPr>
        <w:t xml:space="preserve"> the two state rural frontier programs, were tasked with absorbing all of the active children and families that transferred due to program closures. Referrals continued throughout the fiscal year, impacting programs statewide with meeting required transition conference timelines. </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database</w:t>
      </w:r>
    </w:p>
    <w:p w14:paraId="1D234BC8" w14:textId="55633D84" w:rsidR="00781A26" w:rsidRPr="00ED172B" w:rsidRDefault="00781A26">
      <w:pPr>
        <w:rPr>
          <w:b/>
          <w:color w:val="000000" w:themeColor="text1"/>
        </w:rPr>
      </w:pPr>
      <w:r w:rsidRPr="00ED172B">
        <w:rPr>
          <w:b/>
          <w:color w:val="000000" w:themeColor="text1"/>
        </w:rPr>
        <w:t xml:space="preserve">Provide the </w:t>
      </w:r>
      <w:proofErr w:type="gramStart"/>
      <w:r w:rsidRPr="00ED172B">
        <w:rPr>
          <w:b/>
          <w:color w:val="000000" w:themeColor="text1"/>
        </w:rPr>
        <w:t>time period</w:t>
      </w:r>
      <w:proofErr w:type="gramEnd"/>
      <w:r w:rsidRPr="00ED172B">
        <w:rPr>
          <w:b/>
          <w:color w:val="000000" w:themeColor="text1"/>
        </w:rPr>
        <w:t xml:space="preserve"> in which the data were collected (e.g., September through December, fourth quarter, selection from the full reporting period). </w:t>
      </w:r>
    </w:p>
    <w:p w14:paraId="6E1EF1B9" w14:textId="471657D2" w:rsidR="00781A26" w:rsidRPr="00ED172B" w:rsidRDefault="00860830" w:rsidP="00781A26">
      <w:pPr>
        <w:rPr>
          <w:color w:val="000000" w:themeColor="text1"/>
        </w:rPr>
      </w:pPr>
      <w:r w:rsidRPr="00ED172B">
        <w:rPr>
          <w:color w:val="000000" w:themeColor="text1"/>
        </w:rPr>
        <w:t xml:space="preserve">July 1, </w:t>
      </w:r>
      <w:proofErr w:type="gramStart"/>
      <w:r w:rsidRPr="00ED172B">
        <w:rPr>
          <w:color w:val="000000" w:themeColor="text1"/>
        </w:rPr>
        <w:t>2022</w:t>
      </w:r>
      <w:proofErr w:type="gramEnd"/>
      <w:r w:rsidRPr="00ED172B">
        <w:rPr>
          <w:color w:val="000000" w:themeColor="text1"/>
        </w:rPr>
        <w:t xml:space="preserve"> through June 30, 2023</w:t>
      </w:r>
    </w:p>
    <w:p w14:paraId="342C3DA5" w14:textId="22804128" w:rsidR="00781A26" w:rsidRPr="00ED172B" w:rsidRDefault="00781A26">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045AB1A" w14:textId="660FC827" w:rsidR="00781A26" w:rsidRDefault="00860830" w:rsidP="00781A26">
      <w:pPr>
        <w:rPr>
          <w:rFonts w:cs="Arial"/>
          <w:color w:val="000000" w:themeColor="text1"/>
          <w:szCs w:val="16"/>
        </w:rPr>
      </w:pPr>
      <w:r w:rsidRPr="00ED172B">
        <w:rPr>
          <w:rFonts w:cs="Arial"/>
          <w:color w:val="000000" w:themeColor="text1"/>
          <w:szCs w:val="16"/>
        </w:rPr>
        <w:t xml:space="preserve">The performance data for this indicator are taken from the Tracking Resources and Children (TRAC) data system. All early intervention service (EIS) providers in the State are required to maintain individual child data in the TRAC system for all children enrolled in their programs. The data for this report are based on the final data for the FFY 2022 reporting period. Data were collected for every child with an active IFSP in all programs between the ages of 2 years 3 months and not less than 90 days before their third birthdate whose family consented to the transition conference for the period from July 1,2022 through June 30, 2023. Data are representative of the total population served in this </w:t>
      </w:r>
      <w:proofErr w:type="gramStart"/>
      <w:r w:rsidRPr="00ED172B">
        <w:rPr>
          <w:rFonts w:cs="Arial"/>
          <w:color w:val="000000" w:themeColor="text1"/>
          <w:szCs w:val="16"/>
        </w:rPr>
        <w:t>time period</w:t>
      </w:r>
      <w:proofErr w:type="gramEnd"/>
      <w:r w:rsidRPr="00ED172B">
        <w:rPr>
          <w:rFonts w:cs="Arial"/>
          <w:color w:val="000000" w:themeColor="text1"/>
          <w:szCs w:val="16"/>
        </w:rPr>
        <w:t>.</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860830" w:rsidP="003A3693">
      <w:pPr>
        <w:rPr>
          <w:rFonts w:cs="Arial"/>
          <w:color w:val="000000" w:themeColor="text1"/>
          <w:szCs w:val="16"/>
        </w:rPr>
      </w:pPr>
      <w:r w:rsidRPr="00ED172B">
        <w:rPr>
          <w:rFonts w:cs="Arial"/>
          <w:color w:val="000000" w:themeColor="text1"/>
          <w:szCs w:val="16"/>
        </w:rPr>
        <w:lastRenderedPageBreak/>
        <w:t>For children who exited on their third birthday and were not potentially eligible or had loss of contact during this reporting period, the IDEA Part C Office reports that 89 transition conferences were conducted. Of those conferences, 77 were on time. Additionally, there were children with late enrollment where transition conferences occurred, although late.</w:t>
      </w:r>
    </w:p>
    <w:p w14:paraId="0F5F1132" w14:textId="2A33C6A9" w:rsidR="00E06C1E" w:rsidRPr="00ED172B" w:rsidRDefault="00E06C1E" w:rsidP="00B8340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shd w:val="clear" w:color="auto" w:fill="auto"/>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shd w:val="clear" w:color="auto" w:fill="auto"/>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shd w:val="clear" w:color="auto" w:fill="auto"/>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7</w:t>
            </w:r>
          </w:p>
        </w:tc>
        <w:tc>
          <w:tcPr>
            <w:tcW w:w="1268" w:type="pct"/>
            <w:shd w:val="clear" w:color="auto" w:fill="auto"/>
          </w:tcPr>
          <w:p w14:paraId="2EF88B35" w14:textId="56AB0211" w:rsidR="00E06C1E" w:rsidRPr="00ED172B" w:rsidRDefault="00860830" w:rsidP="00ED172B">
            <w:pPr>
              <w:jc w:val="center"/>
              <w:rPr>
                <w:rFonts w:cs="Arial"/>
                <w:color w:val="000000" w:themeColor="text1"/>
                <w:szCs w:val="16"/>
              </w:rPr>
            </w:pPr>
            <w:r w:rsidRPr="00ED172B">
              <w:rPr>
                <w:rFonts w:cs="Arial"/>
                <w:color w:val="000000" w:themeColor="text1"/>
                <w:szCs w:val="16"/>
              </w:rPr>
              <w:t>3</w:t>
            </w:r>
          </w:p>
        </w:tc>
        <w:tc>
          <w:tcPr>
            <w:tcW w:w="1211" w:type="pct"/>
            <w:shd w:val="clear" w:color="auto" w:fill="auto"/>
          </w:tcPr>
          <w:p w14:paraId="10012A67" w14:textId="070A52AD"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12" w:type="pct"/>
            <w:shd w:val="clear" w:color="auto" w:fill="auto"/>
          </w:tcPr>
          <w:p w14:paraId="17C46319" w14:textId="0968AE1A" w:rsidR="00E06C1E" w:rsidRPr="00ED172B" w:rsidRDefault="00860830" w:rsidP="00D21F29">
            <w:pPr>
              <w:jc w:val="center"/>
              <w:rPr>
                <w:rFonts w:cs="Arial"/>
                <w:color w:val="000000" w:themeColor="text1"/>
                <w:szCs w:val="16"/>
              </w:rPr>
            </w:pPr>
            <w:r w:rsidRPr="00ED172B">
              <w:rPr>
                <w:rFonts w:cs="Arial"/>
                <w:color w:val="000000" w:themeColor="text1"/>
                <w:szCs w:val="16"/>
              </w:rPr>
              <w:t>4</w:t>
            </w:r>
          </w:p>
        </w:tc>
      </w:tr>
    </w:tbl>
    <w:p w14:paraId="516D9735" w14:textId="1F591491" w:rsidR="00E06C1E" w:rsidRPr="00ED172B" w:rsidRDefault="00CD74B5" w:rsidP="00B83404">
      <w:pPr>
        <w:rPr>
          <w:color w:val="000000" w:themeColor="text1"/>
        </w:rPr>
      </w:pPr>
      <w:r>
        <w:rPr>
          <w:b/>
          <w:color w:val="000000" w:themeColor="text1"/>
        </w:rPr>
        <w:t>FFY 2021 Findings of Noncompliance Verified as Corrected</w:t>
      </w:r>
    </w:p>
    <w:p w14:paraId="744E9FCC" w14:textId="4DDC632D" w:rsidR="00E06C1E" w:rsidRPr="00ED172B" w:rsidRDefault="00E06C1E">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7554342" w14:textId="19034021" w:rsidR="00E06C1E" w:rsidRPr="00ED172B" w:rsidRDefault="00860830">
      <w:pPr>
        <w:rPr>
          <w:color w:val="000000" w:themeColor="text1"/>
        </w:rPr>
      </w:pPr>
      <w:r w:rsidRPr="00ED172B">
        <w:rPr>
          <w:color w:val="000000" w:themeColor="text1"/>
        </w:rPr>
        <w:t xml:space="preserve">During FFY 2021, seven (7) programs were issued new findings for this indicator and three (3) programs had timely correction that was verified by the IDEA Part C Office. Four (4) programs did not have verified correction of noncompliance within a one (1) year </w:t>
      </w:r>
      <w:proofErr w:type="gramStart"/>
      <w:r w:rsidRPr="00ED172B">
        <w:rPr>
          <w:color w:val="000000" w:themeColor="text1"/>
        </w:rPr>
        <w:t>period of time</w:t>
      </w:r>
      <w:proofErr w:type="gramEnd"/>
      <w:r w:rsidRPr="00ED172B">
        <w:rPr>
          <w:color w:val="000000" w:themeColor="text1"/>
        </w:rPr>
        <w:t xml:space="preserve">. Two (2) of the four (4) programs terminated their service agreement during this reporting period, in November 2022 and May 1, 2023, which impacted the state's ability to maintain compliance with transition conferences statewide. The IDEA Part C Office continues to review subsequent quarterly data and will continue monitoring these programs with desk audits for the remaining two (2) programs to identify progress made and any training needs. </w:t>
      </w:r>
      <w:r w:rsidRPr="00ED172B">
        <w:rPr>
          <w:color w:val="000000" w:themeColor="text1"/>
        </w:rPr>
        <w:br/>
      </w:r>
      <w:r w:rsidRPr="00ED172B">
        <w:rPr>
          <w:color w:val="000000" w:themeColor="text1"/>
        </w:rPr>
        <w:br/>
        <w:t xml:space="preserve">Data reports for all EI programs for this indicator are generated on a quarterly basis from the Tracking Resources and Children (TRAC) data system. Data are individualized by each program to include the total number of required transition conferences including: the number of children exiting IDEA Part C services, transition conferences completed within the required timeline, conferences not completed due to family exception and program exception. From that information, the percentage of compliance is calculated for each program. The IDEA Part C Office reviews these data each quarter for compliance. All data reports generated in quarters </w:t>
      </w:r>
      <w:proofErr w:type="gramStart"/>
      <w:r w:rsidRPr="00ED172B">
        <w:rPr>
          <w:color w:val="000000" w:themeColor="text1"/>
        </w:rPr>
        <w:t>subsequent to</w:t>
      </w:r>
      <w:proofErr w:type="gramEnd"/>
      <w:r w:rsidRPr="00ED172B">
        <w:rPr>
          <w:color w:val="000000" w:themeColor="text1"/>
        </w:rPr>
        <w:t xml:space="preserve"> the issuing of the finding are reviewed. When a program was found to be at 100% for one (1) quarter it was determined the program had met the requirements for all children enrolled and the program was provided with written notification of correction of the noncompliance.</w:t>
      </w:r>
    </w:p>
    <w:p w14:paraId="6D01EF0D" w14:textId="1AD582C0" w:rsidR="00E06C1E" w:rsidRPr="00ED172B" w:rsidRDefault="00E06C1E">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E3CA8C6" w14:textId="7957D363" w:rsidR="00E06C1E" w:rsidRDefault="00860830">
      <w:pPr>
        <w:rPr>
          <w:color w:val="000000" w:themeColor="text1"/>
        </w:rPr>
      </w:pPr>
      <w:r w:rsidRPr="00ED172B">
        <w:rPr>
          <w:color w:val="000000" w:themeColor="text1"/>
        </w:rPr>
        <w:t xml:space="preserve">The IDEA Part C Office pulls a data set for each quarter. If all children in that quarter have received their transition conference in a timely manner, then the program is 100% compliant. Quarterly data reports for this indicator are generated from the TRAC data system. New data reports generated in quarters </w:t>
      </w:r>
      <w:proofErr w:type="gramStart"/>
      <w:r w:rsidRPr="00ED172B">
        <w:rPr>
          <w:color w:val="000000" w:themeColor="text1"/>
        </w:rPr>
        <w:t>subsequent to</w:t>
      </w:r>
      <w:proofErr w:type="gramEnd"/>
      <w:r w:rsidRPr="00ED172B">
        <w:rPr>
          <w:color w:val="000000" w:themeColor="text1"/>
        </w:rPr>
        <w:t xml:space="preserve"> the issuing of the finding are reviewed. When a program was found to be at 100% compliance for one (1) quarter based on the new data, the program demonstrated it is implementing the requirements of this indicator for all children enrolled, and the program was provided with written notification of correction for the identified noncompliance. Each program that was issued new findings were required to review their tracking processes for the eligible timeline to identify the underlying causes leading to noncompliance and to ensure compliance with the transition conference timeline. For the programs that have a finding of noncompliance for this indicator based on data for the first three (3) quarters, the agency’s TRAC data for the fourth quarter of the year is used to verify correction.</w:t>
      </w:r>
      <w:r w:rsidRPr="00ED172B">
        <w:rPr>
          <w:color w:val="000000" w:themeColor="text1"/>
        </w:rPr>
        <w:br/>
      </w:r>
      <w:r w:rsidRPr="00ED172B">
        <w:rPr>
          <w:color w:val="000000" w:themeColor="text1"/>
        </w:rPr>
        <w:br/>
        <w:t>As these children are reported coinciding with exit on third from the EI system individual correction cannot be verified.</w:t>
      </w:r>
      <w:r w:rsidRPr="00ED172B">
        <w:rPr>
          <w:color w:val="000000" w:themeColor="text1"/>
        </w:rPr>
        <w:br/>
      </w:r>
      <w:r w:rsidRPr="00ED172B">
        <w:rPr>
          <w:color w:val="000000" w:themeColor="text1"/>
        </w:rPr>
        <w:br/>
        <w:t>The IDEA Part C Office verified individual cases of noncompliance through desk audits and ongoing database reporting that Transition Conferences were initiated for each individual child, although late. Correction could not be verified for each individual child because they had exited on third their birthdays from the jurisdiction of the EI system and programs.</w:t>
      </w:r>
    </w:p>
    <w:p w14:paraId="0D85C54F" w14:textId="3776C9FB" w:rsidR="00E06C1E" w:rsidRPr="00ED172B" w:rsidRDefault="00CD74B5" w:rsidP="00B83404">
      <w:pPr>
        <w:rPr>
          <w:color w:val="000000" w:themeColor="text1"/>
        </w:rPr>
      </w:pPr>
      <w:r>
        <w:rPr>
          <w:b/>
          <w:color w:val="000000" w:themeColor="text1"/>
        </w:rPr>
        <w:t>FFY 2021 Findings of Noncompliance Not Yet Verified as Corrected</w:t>
      </w:r>
    </w:p>
    <w:p w14:paraId="5FEF1614" w14:textId="77777777" w:rsidR="00E06C1E" w:rsidRPr="00ED172B" w:rsidRDefault="00E06C1E">
      <w:pPr>
        <w:rPr>
          <w:b/>
          <w:color w:val="000000" w:themeColor="text1"/>
        </w:rPr>
      </w:pPr>
      <w:r w:rsidRPr="00ED172B">
        <w:rPr>
          <w:b/>
          <w:color w:val="000000" w:themeColor="text1"/>
        </w:rPr>
        <w:t>Actions taken if noncompliance not corrected</w:t>
      </w:r>
    </w:p>
    <w:p w14:paraId="722EE7D0" w14:textId="7C8AC5D2" w:rsidR="00E06C1E" w:rsidRDefault="00860830">
      <w:pPr>
        <w:rPr>
          <w:color w:val="000000" w:themeColor="text1"/>
        </w:rPr>
      </w:pPr>
      <w:r w:rsidRPr="00ED172B">
        <w:rPr>
          <w:color w:val="000000" w:themeColor="text1"/>
        </w:rPr>
        <w:t xml:space="preserve">Of the four (4) programs without timely or subsequent correction, two (2) programs with a finding of noncompliance in this indicator terminated their service agreement in November 2022 and May 1, </w:t>
      </w:r>
      <w:proofErr w:type="gramStart"/>
      <w:r w:rsidRPr="00ED172B">
        <w:rPr>
          <w:color w:val="000000" w:themeColor="text1"/>
        </w:rPr>
        <w:t>2023</w:t>
      </w:r>
      <w:proofErr w:type="gramEnd"/>
      <w:r w:rsidRPr="00ED172B">
        <w:rPr>
          <w:color w:val="000000" w:themeColor="text1"/>
        </w:rPr>
        <w:t xml:space="preserve"> of this reporting period. Therefore, this was prior to record verification and as a result, correction cannot be verified. The remaining two (2) programs have ongoing noncompliance and will require a more in-depth analysis of the data to determine the underlying cause for the delay for children receiving transition conferences within the required timeline.</w:t>
      </w:r>
    </w:p>
    <w:p w14:paraId="24E59DC5" w14:textId="632F6AB6" w:rsidR="00E06C1E" w:rsidRPr="00ED172B" w:rsidRDefault="00E06C1E" w:rsidP="00B8340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shd w:val="clear" w:color="auto" w:fill="auto"/>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14:paraId="5E5FCDEA" w14:textId="2D1DC1BA"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85" w:type="pct"/>
            <w:shd w:val="clear" w:color="auto" w:fill="auto"/>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shd w:val="clear" w:color="auto" w:fill="auto"/>
          </w:tcPr>
          <w:p w14:paraId="0462C17B" w14:textId="6F7A2E92" w:rsidR="00E06C1E" w:rsidRPr="00ED172B" w:rsidRDefault="00860830" w:rsidP="00D21F29">
            <w:pPr>
              <w:jc w:val="center"/>
              <w:rPr>
                <w:rFonts w:cs="Arial"/>
                <w:color w:val="000000" w:themeColor="text1"/>
                <w:szCs w:val="16"/>
              </w:rPr>
            </w:pPr>
            <w:r w:rsidRPr="00ED172B">
              <w:rPr>
                <w:rFonts w:cs="Arial"/>
                <w:color w:val="000000" w:themeColor="text1"/>
                <w:szCs w:val="16"/>
              </w:rPr>
              <w:t>FFY 2020</w:t>
            </w:r>
          </w:p>
        </w:tc>
        <w:tc>
          <w:tcPr>
            <w:tcW w:w="1369" w:type="pct"/>
            <w:shd w:val="clear" w:color="auto" w:fill="auto"/>
          </w:tcPr>
          <w:p w14:paraId="5BA52FCC" w14:textId="3D598A47" w:rsidR="00E06C1E" w:rsidRPr="00ED172B" w:rsidRDefault="00860830" w:rsidP="00CD79C5">
            <w:pPr>
              <w:jc w:val="center"/>
              <w:rPr>
                <w:rFonts w:cs="Arial"/>
                <w:noProof/>
                <w:color w:val="000000" w:themeColor="text1"/>
                <w:szCs w:val="16"/>
              </w:rPr>
            </w:pPr>
            <w:r w:rsidRPr="00ED172B">
              <w:rPr>
                <w:rFonts w:cs="Arial"/>
                <w:color w:val="000000" w:themeColor="text1"/>
                <w:szCs w:val="16"/>
              </w:rPr>
              <w:t>2</w:t>
            </w:r>
          </w:p>
        </w:tc>
        <w:tc>
          <w:tcPr>
            <w:tcW w:w="1385" w:type="pct"/>
            <w:shd w:val="clear" w:color="auto" w:fill="auto"/>
          </w:tcPr>
          <w:p w14:paraId="6B279413" w14:textId="2F1AADB8" w:rsidR="00E06C1E" w:rsidRPr="00ED172B" w:rsidRDefault="00860830" w:rsidP="00CD79C5">
            <w:pPr>
              <w:jc w:val="center"/>
              <w:rPr>
                <w:rFonts w:cs="Arial"/>
                <w:noProof/>
                <w:color w:val="000000" w:themeColor="text1"/>
                <w:szCs w:val="16"/>
              </w:rPr>
            </w:pPr>
            <w:r w:rsidRPr="00ED172B">
              <w:rPr>
                <w:rFonts w:cs="Arial"/>
                <w:color w:val="000000" w:themeColor="text1"/>
                <w:szCs w:val="16"/>
              </w:rPr>
              <w:t>0</w:t>
            </w:r>
          </w:p>
        </w:tc>
        <w:tc>
          <w:tcPr>
            <w:tcW w:w="1292" w:type="pct"/>
            <w:shd w:val="clear" w:color="auto" w:fill="auto"/>
          </w:tcPr>
          <w:p w14:paraId="68689D7A" w14:textId="2D874336" w:rsidR="00E06C1E" w:rsidRPr="00ED172B" w:rsidRDefault="00860830" w:rsidP="00CD79C5">
            <w:pPr>
              <w:jc w:val="center"/>
              <w:rPr>
                <w:rFonts w:cs="Arial"/>
                <w:noProof/>
                <w:color w:val="000000" w:themeColor="text1"/>
                <w:szCs w:val="16"/>
              </w:rPr>
            </w:pPr>
            <w:r w:rsidRPr="00ED172B">
              <w:rPr>
                <w:rFonts w:cs="Arial"/>
                <w:color w:val="000000" w:themeColor="text1"/>
                <w:szCs w:val="16"/>
              </w:rPr>
              <w:t>2</w:t>
            </w:r>
          </w:p>
        </w:tc>
      </w:tr>
      <w:tr w:rsidR="00ED172B" w:rsidRPr="00ED172B" w14:paraId="56685A6A" w14:textId="77777777" w:rsidTr="00986B99">
        <w:tc>
          <w:tcPr>
            <w:tcW w:w="954" w:type="pct"/>
            <w:shd w:val="clear" w:color="auto" w:fill="auto"/>
          </w:tcPr>
          <w:p w14:paraId="7179E786" w14:textId="392A4084" w:rsidR="00E06C1E" w:rsidRPr="00ED172B" w:rsidRDefault="00E06C1E" w:rsidP="00D21F29">
            <w:pPr>
              <w:jc w:val="center"/>
              <w:rPr>
                <w:rFonts w:cs="Arial"/>
                <w:color w:val="000000" w:themeColor="text1"/>
                <w:szCs w:val="16"/>
              </w:rPr>
            </w:pPr>
          </w:p>
        </w:tc>
        <w:tc>
          <w:tcPr>
            <w:tcW w:w="1369" w:type="pct"/>
            <w:shd w:val="clear" w:color="auto" w:fill="auto"/>
          </w:tcPr>
          <w:p w14:paraId="6CB3F624" w14:textId="24F9CFE3" w:rsidR="00E06C1E" w:rsidRPr="00ED172B" w:rsidRDefault="00E06C1E" w:rsidP="00CD79C5">
            <w:pPr>
              <w:jc w:val="center"/>
              <w:rPr>
                <w:rFonts w:cs="Arial"/>
                <w:noProof/>
                <w:color w:val="000000" w:themeColor="text1"/>
                <w:szCs w:val="16"/>
              </w:rPr>
            </w:pPr>
          </w:p>
        </w:tc>
        <w:tc>
          <w:tcPr>
            <w:tcW w:w="1385" w:type="pct"/>
            <w:shd w:val="clear" w:color="auto" w:fill="auto"/>
          </w:tcPr>
          <w:p w14:paraId="4EF6A3A9" w14:textId="5371D864" w:rsidR="00E06C1E" w:rsidRPr="00ED172B" w:rsidRDefault="00E06C1E" w:rsidP="00CD79C5">
            <w:pPr>
              <w:jc w:val="center"/>
              <w:rPr>
                <w:rFonts w:cs="Arial"/>
                <w:noProof/>
                <w:color w:val="000000" w:themeColor="text1"/>
                <w:szCs w:val="16"/>
              </w:rPr>
            </w:pPr>
          </w:p>
        </w:tc>
        <w:tc>
          <w:tcPr>
            <w:tcW w:w="1292" w:type="pct"/>
            <w:shd w:val="clear" w:color="auto" w:fill="auto"/>
          </w:tcPr>
          <w:p w14:paraId="66F1697A" w14:textId="51875C1A" w:rsidR="00E06C1E" w:rsidRPr="00ED172B" w:rsidRDefault="00E06C1E" w:rsidP="00CD79C5">
            <w:pPr>
              <w:jc w:val="center"/>
              <w:rPr>
                <w:rFonts w:cs="Arial"/>
                <w:noProof/>
                <w:color w:val="000000" w:themeColor="text1"/>
                <w:szCs w:val="16"/>
              </w:rPr>
            </w:pPr>
          </w:p>
        </w:tc>
      </w:tr>
      <w:tr w:rsidR="00ED172B" w:rsidRPr="00ED172B" w14:paraId="423BF0B3" w14:textId="77777777" w:rsidTr="00986B99">
        <w:tc>
          <w:tcPr>
            <w:tcW w:w="954" w:type="pct"/>
            <w:shd w:val="clear" w:color="auto" w:fill="auto"/>
          </w:tcPr>
          <w:p w14:paraId="7C618054" w14:textId="50E5413D" w:rsidR="00E06C1E" w:rsidRPr="00ED172B" w:rsidRDefault="00E06C1E" w:rsidP="00D21F29">
            <w:pPr>
              <w:jc w:val="center"/>
              <w:rPr>
                <w:rFonts w:cs="Arial"/>
                <w:color w:val="000000" w:themeColor="text1"/>
                <w:szCs w:val="16"/>
              </w:rPr>
            </w:pPr>
          </w:p>
        </w:tc>
        <w:tc>
          <w:tcPr>
            <w:tcW w:w="1369" w:type="pct"/>
            <w:shd w:val="clear" w:color="auto" w:fill="auto"/>
          </w:tcPr>
          <w:p w14:paraId="4384FEF7" w14:textId="06049B4E" w:rsidR="00E06C1E" w:rsidRPr="00ED172B" w:rsidRDefault="00E06C1E" w:rsidP="00CD79C5">
            <w:pPr>
              <w:jc w:val="center"/>
              <w:rPr>
                <w:rFonts w:cs="Arial"/>
                <w:noProof/>
                <w:color w:val="000000" w:themeColor="text1"/>
                <w:szCs w:val="16"/>
              </w:rPr>
            </w:pPr>
          </w:p>
        </w:tc>
        <w:tc>
          <w:tcPr>
            <w:tcW w:w="1385" w:type="pct"/>
            <w:shd w:val="clear" w:color="auto" w:fill="auto"/>
          </w:tcPr>
          <w:p w14:paraId="60362BA9" w14:textId="53FAE770" w:rsidR="00E06C1E" w:rsidRPr="00ED172B" w:rsidRDefault="00E06C1E" w:rsidP="00CD79C5">
            <w:pPr>
              <w:jc w:val="center"/>
              <w:rPr>
                <w:rFonts w:cs="Arial"/>
                <w:noProof/>
                <w:color w:val="000000" w:themeColor="text1"/>
                <w:szCs w:val="16"/>
              </w:rPr>
            </w:pPr>
          </w:p>
        </w:tc>
        <w:tc>
          <w:tcPr>
            <w:tcW w:w="1292" w:type="pct"/>
            <w:shd w:val="clear" w:color="auto" w:fill="auto"/>
          </w:tcPr>
          <w:p w14:paraId="1935DBBF" w14:textId="5B8D837C" w:rsidR="00E06C1E" w:rsidRPr="00ED172B" w:rsidRDefault="00E06C1E" w:rsidP="00CD79C5">
            <w:pPr>
              <w:jc w:val="center"/>
              <w:rPr>
                <w:rFonts w:cs="Arial"/>
                <w:noProof/>
                <w:color w:val="000000" w:themeColor="text1"/>
                <w:szCs w:val="16"/>
              </w:rPr>
            </w:pPr>
          </w:p>
        </w:tc>
      </w:tr>
      <w:tr w:rsidR="00422BEE" w:rsidRPr="00ED172B" w14:paraId="6EF5CDEF" w14:textId="77777777" w:rsidTr="00986B99">
        <w:tc>
          <w:tcPr>
            <w:tcW w:w="954" w:type="pct"/>
            <w:shd w:val="clear" w:color="auto" w:fill="auto"/>
          </w:tcPr>
          <w:p w14:paraId="74463FE6" w14:textId="4B3ED3AA" w:rsidR="00422BEE" w:rsidRPr="00ED172B" w:rsidRDefault="00422BEE" w:rsidP="00D21F29">
            <w:pPr>
              <w:jc w:val="center"/>
              <w:rPr>
                <w:rFonts w:cs="Arial"/>
                <w:color w:val="000000" w:themeColor="text1"/>
                <w:szCs w:val="16"/>
              </w:rPr>
            </w:pPr>
          </w:p>
        </w:tc>
        <w:tc>
          <w:tcPr>
            <w:tcW w:w="1369" w:type="pct"/>
            <w:shd w:val="clear" w:color="auto" w:fill="auto"/>
          </w:tcPr>
          <w:p w14:paraId="460E61A6" w14:textId="48EA216E" w:rsidR="00422BEE" w:rsidRPr="00ED172B" w:rsidRDefault="00422BEE" w:rsidP="00422BEE">
            <w:pPr>
              <w:jc w:val="center"/>
              <w:rPr>
                <w:rFonts w:cs="Arial"/>
                <w:color w:val="000000" w:themeColor="text1"/>
                <w:szCs w:val="16"/>
              </w:rPr>
            </w:pPr>
          </w:p>
        </w:tc>
        <w:tc>
          <w:tcPr>
            <w:tcW w:w="1385" w:type="pct"/>
            <w:shd w:val="clear" w:color="auto" w:fill="auto"/>
          </w:tcPr>
          <w:p w14:paraId="30C50A54" w14:textId="55A06122" w:rsidR="00422BEE" w:rsidRPr="00ED172B" w:rsidRDefault="00422BEE" w:rsidP="00422BEE">
            <w:pPr>
              <w:jc w:val="center"/>
              <w:rPr>
                <w:rFonts w:cs="Arial"/>
                <w:color w:val="000000" w:themeColor="text1"/>
                <w:szCs w:val="16"/>
              </w:rPr>
            </w:pPr>
          </w:p>
        </w:tc>
        <w:tc>
          <w:tcPr>
            <w:tcW w:w="1292" w:type="pct"/>
            <w:shd w:val="clear" w:color="auto" w:fill="auto"/>
          </w:tcPr>
          <w:p w14:paraId="1229F702" w14:textId="4C186FAB" w:rsidR="00422BEE" w:rsidRPr="00ED172B" w:rsidRDefault="00422BEE" w:rsidP="00422BEE">
            <w:pPr>
              <w:jc w:val="center"/>
              <w:rPr>
                <w:rFonts w:cs="Arial"/>
                <w:color w:val="000000" w:themeColor="text1"/>
                <w:szCs w:val="16"/>
              </w:rPr>
            </w:pPr>
          </w:p>
        </w:tc>
      </w:tr>
      <w:tr w:rsidR="00422BEE" w:rsidRPr="00ED172B" w14:paraId="4701CE6F" w14:textId="77777777" w:rsidTr="00986B99">
        <w:tc>
          <w:tcPr>
            <w:tcW w:w="954" w:type="pct"/>
            <w:shd w:val="clear" w:color="auto" w:fill="auto"/>
          </w:tcPr>
          <w:p w14:paraId="5B94419F" w14:textId="7AC21A0A" w:rsidR="00422BEE" w:rsidRPr="00ED172B" w:rsidRDefault="00422BEE" w:rsidP="00D21F29">
            <w:pPr>
              <w:jc w:val="center"/>
              <w:rPr>
                <w:rFonts w:cs="Arial"/>
                <w:color w:val="000000" w:themeColor="text1"/>
                <w:szCs w:val="16"/>
              </w:rPr>
            </w:pPr>
          </w:p>
        </w:tc>
        <w:tc>
          <w:tcPr>
            <w:tcW w:w="1369" w:type="pct"/>
            <w:shd w:val="clear" w:color="auto" w:fill="auto"/>
          </w:tcPr>
          <w:p w14:paraId="61A65B88" w14:textId="46B3C92D" w:rsidR="00422BEE" w:rsidRPr="00ED172B" w:rsidRDefault="00422BEE" w:rsidP="00422BEE">
            <w:pPr>
              <w:jc w:val="center"/>
              <w:rPr>
                <w:rFonts w:cs="Arial"/>
                <w:color w:val="000000" w:themeColor="text1"/>
                <w:szCs w:val="16"/>
              </w:rPr>
            </w:pPr>
          </w:p>
        </w:tc>
        <w:tc>
          <w:tcPr>
            <w:tcW w:w="1385" w:type="pct"/>
            <w:shd w:val="clear" w:color="auto" w:fill="auto"/>
          </w:tcPr>
          <w:p w14:paraId="46126A64" w14:textId="42C89DB5" w:rsidR="00422BEE" w:rsidRPr="00ED172B" w:rsidRDefault="00422BEE" w:rsidP="00422BEE">
            <w:pPr>
              <w:jc w:val="center"/>
              <w:rPr>
                <w:rFonts w:cs="Arial"/>
                <w:color w:val="000000" w:themeColor="text1"/>
                <w:szCs w:val="16"/>
              </w:rPr>
            </w:pPr>
          </w:p>
        </w:tc>
        <w:tc>
          <w:tcPr>
            <w:tcW w:w="1292" w:type="pct"/>
            <w:shd w:val="clear" w:color="auto" w:fill="auto"/>
          </w:tcPr>
          <w:p w14:paraId="4B884D14" w14:textId="4359A626" w:rsidR="00422BEE" w:rsidRPr="00ED172B" w:rsidRDefault="00422BEE" w:rsidP="00422BEE">
            <w:pPr>
              <w:jc w:val="center"/>
              <w:rPr>
                <w:rFonts w:cs="Arial"/>
                <w:color w:val="000000" w:themeColor="text1"/>
                <w:szCs w:val="16"/>
              </w:rPr>
            </w:pPr>
          </w:p>
        </w:tc>
      </w:tr>
    </w:tbl>
    <w:p w14:paraId="1EC900A3" w14:textId="189C22A8" w:rsidR="00866366" w:rsidRPr="00ED172B" w:rsidRDefault="00866366" w:rsidP="00866366">
      <w:pPr>
        <w:rPr>
          <w:rFonts w:cs="Arial"/>
          <w:b/>
          <w:bCs/>
          <w:color w:val="000000" w:themeColor="text1"/>
          <w:szCs w:val="16"/>
        </w:rPr>
      </w:pPr>
      <w:r w:rsidRPr="00ED172B">
        <w:rPr>
          <w:rFonts w:cs="Arial"/>
          <w:b/>
          <w:bCs/>
          <w:color w:val="000000" w:themeColor="text1"/>
          <w:szCs w:val="16"/>
        </w:rPr>
        <w:t>FFY 2020</w:t>
      </w:r>
    </w:p>
    <w:p w14:paraId="202A3586" w14:textId="77777777" w:rsidR="00866366" w:rsidRPr="00ED172B" w:rsidRDefault="00866366" w:rsidP="00866366">
      <w:pPr>
        <w:rPr>
          <w:color w:val="000000" w:themeColor="text1"/>
        </w:rPr>
      </w:pPr>
      <w:r w:rsidRPr="00ED172B">
        <w:rPr>
          <w:b/>
          <w:color w:val="000000" w:themeColor="text1"/>
        </w:rPr>
        <w:t>Findings of Noncompliance Not Yet Verified as Corrected</w:t>
      </w:r>
    </w:p>
    <w:p w14:paraId="0E541406" w14:textId="77777777" w:rsidR="00866366" w:rsidRPr="00ED172B" w:rsidRDefault="00866366" w:rsidP="00866366">
      <w:pPr>
        <w:rPr>
          <w:b/>
          <w:color w:val="000000" w:themeColor="text1"/>
        </w:rPr>
      </w:pPr>
      <w:r w:rsidRPr="00ED172B">
        <w:rPr>
          <w:b/>
          <w:color w:val="000000" w:themeColor="text1"/>
        </w:rPr>
        <w:t>Actions taken if noncompliance not corrected</w:t>
      </w:r>
    </w:p>
    <w:p w14:paraId="4A90E273" w14:textId="6938EA52" w:rsidR="00866366" w:rsidRDefault="00866366" w:rsidP="00866366">
      <w:pPr>
        <w:rPr>
          <w:color w:val="000000" w:themeColor="text1"/>
        </w:rPr>
      </w:pPr>
      <w:r w:rsidRPr="00ED172B">
        <w:rPr>
          <w:color w:val="000000" w:themeColor="text1"/>
        </w:rPr>
        <w:t>There are two (2) programs with longstanding noncompliance from FFY20. The IDEA Part C Office will require a more in-depth analysis of the data to determine the underlying cause for the delay for children receiving timely transition conferences within the required timeline. CAPs will be reviewed and updated with additional targeted activities to promote success with meeting the timelines for transition conference and come into 100% compliance.</w:t>
      </w:r>
    </w:p>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two uncorrected findings of noncompliance identified in FFY 2020 were corrected. When reporting on the correction of noncompliance, the State must report, in the FFY 2022 SPP/APR, that it has verified that each EIS program or provider with findings of noncompliance identified in FFY 2021 and each EIS program or provider </w:t>
      </w:r>
      <w:r w:rsidRPr="00ED172B">
        <w:rPr>
          <w:color w:val="000000" w:themeColor="text1"/>
        </w:rPr>
        <w:lastRenderedPageBreak/>
        <w:t>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r>
      <w:r w:rsidRPr="00ED172B">
        <w:rPr>
          <w:color w:val="000000" w:themeColor="text1"/>
        </w:rPr>
        <w:br/>
      </w:r>
      <w:r w:rsidRPr="00ED172B">
        <w:rPr>
          <w:color w:val="000000" w:themeColor="text1"/>
        </w:rPr>
        <w:br/>
        <w:t>If the State did not identify any findings of noncompliance in FFY 2021, although its FFY 2021 data reflect less than 100% compliance, provide an explanation of why the State did not identify any findings of noncompliance in FFY 2021.</w:t>
      </w:r>
    </w:p>
    <w:p w14:paraId="4EE6B923" w14:textId="699DCED7" w:rsidR="00E06C1E" w:rsidRPr="00ED172B" w:rsidRDefault="00E06C1E" w:rsidP="00B83404">
      <w:pPr>
        <w:rPr>
          <w:color w:val="000000" w:themeColor="text1"/>
        </w:rPr>
      </w:pPr>
      <w:r w:rsidRPr="00ED172B">
        <w:rPr>
          <w:b/>
          <w:color w:val="000000" w:themeColor="text1"/>
        </w:rPr>
        <w:t>Response to actions required in FFY 2021 SPP/APR</w:t>
      </w:r>
      <w:r w:rsidR="00950382" w:rsidRPr="00ED172B">
        <w:rPr>
          <w:color w:val="000000" w:themeColor="text1"/>
        </w:rPr>
        <w:t xml:space="preserve"> </w:t>
      </w:r>
    </w:p>
    <w:p w14:paraId="7FE546ED" w14:textId="628A60E0" w:rsidR="00720D77" w:rsidRPr="00ED172B" w:rsidRDefault="00720D77" w:rsidP="00027F39">
      <w:pPr>
        <w:rPr>
          <w:color w:val="000000" w:themeColor="text1"/>
        </w:rPr>
      </w:pP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E06C1E" w:rsidP="00320806">
      <w:pPr>
        <w:rPr>
          <w:color w:val="000000" w:themeColor="text1"/>
        </w:rPr>
      </w:pP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 xml:space="preserve">Because the State reported less than 100% compliance for FFY 2022, the State must report on the status of correction of noncompliance identified in FFY 2022 for this indicator. In addition, the State must demonstrate, in the FFY 2023 SPP/APR, that the remaining four uncorrected findings of noncompliance identified in FFY </w:t>
      </w:r>
      <w:proofErr w:type="gramStart"/>
      <w:r w:rsidRPr="00ED172B">
        <w:rPr>
          <w:color w:val="000000" w:themeColor="text1"/>
        </w:rPr>
        <w:t>2021</w:t>
      </w:r>
      <w:proofErr w:type="gramEnd"/>
      <w:r w:rsidRPr="00ED172B">
        <w:rPr>
          <w:color w:val="000000" w:themeColor="text1"/>
        </w:rPr>
        <w:t xml:space="preserve"> and the remaining two uncorrected findings of noncompliance identified in FFY 2020 were corrected. When reporting on the correction of noncompliance, the State must report, in the FFY 2023 SPP/APR, that it has verified that each EIS program or provider with findings of noncompliance identified in FFY 2022 and each EIS program or provider with remaining noncompliance identified in FFY 2021 and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6" w:name="_Toc382082390"/>
      <w:bookmarkStart w:id="47" w:name="_Toc392159339"/>
      <w:bookmarkEnd w:id="42"/>
      <w:r w:rsidRPr="00ED172B">
        <w:rPr>
          <w:color w:val="000000" w:themeColor="text1"/>
        </w:rPr>
        <w:lastRenderedPageBreak/>
        <w:t>Indicator 9: Resolution Sessions</w:t>
      </w:r>
      <w:bookmarkEnd w:id="46"/>
      <w:bookmarkEnd w:id="47"/>
    </w:p>
    <w:p w14:paraId="162A1EA4" w14:textId="77777777" w:rsidR="00F51610" w:rsidRPr="00ED172B" w:rsidRDefault="00F51610" w:rsidP="00186420">
      <w:pPr>
        <w:rPr>
          <w:color w:val="000000" w:themeColor="text1"/>
          <w:szCs w:val="20"/>
        </w:rPr>
      </w:pPr>
      <w:bookmarkStart w:id="48" w:name="_Toc381786822"/>
      <w:bookmarkStart w:id="49" w:name="_Toc382731911"/>
      <w:bookmarkStart w:id="50" w:name="_Toc382731912"/>
      <w:bookmarkStart w:id="51" w:name="_Toc392159340"/>
      <w:bookmarkEnd w:id="48"/>
      <w:bookmarkEnd w:id="49"/>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6E86F032" w14:textId="7420B1CC" w:rsidR="00FE403B"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00FE403B" w:rsidRPr="00ED172B">
        <w:rPr>
          <w:rFonts w:cs="Arial"/>
          <w:color w:val="000000" w:themeColor="text1"/>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54AB83A2"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resolution sessions is less than 10. In a reporting period when the number of resolution sessions reaches 10 or greater, the State must develop baseline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0"/>
    <w:bookmarkEnd w:id="51"/>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NO</w:t>
      </w:r>
    </w:p>
    <w:p w14:paraId="45348B66" w14:textId="136F9228"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67685D58" w14:textId="3A46B51D" w:rsidR="00D12606" w:rsidRPr="00ED172B" w:rsidRDefault="00D12606" w:rsidP="00B83404">
      <w:pPr>
        <w:rPr>
          <w:color w:val="000000" w:themeColor="text1"/>
        </w:rPr>
      </w:pPr>
      <w:r w:rsidRPr="00ED172B">
        <w:rPr>
          <w:rFonts w:cs="Arial"/>
          <w:color w:val="000000" w:themeColor="text1"/>
          <w:szCs w:val="16"/>
        </w:rPr>
        <w:t>Target Range not used</w:t>
      </w:r>
    </w:p>
    <w:p w14:paraId="409A40FB" w14:textId="14446432" w:rsidR="00DC16A4" w:rsidRPr="00ED172B" w:rsidRDefault="00C93FA8">
      <w:pPr>
        <w:rPr>
          <w:b/>
          <w:color w:val="000000" w:themeColor="text1"/>
        </w:rPr>
      </w:pPr>
      <w:bookmarkStart w:id="52" w:name="_Toc382731913"/>
      <w:bookmarkStart w:id="53" w:name="_Toc392159341"/>
      <w:r w:rsidRPr="00ED172B">
        <w:rPr>
          <w:b/>
          <w:color w:val="000000" w:themeColor="text1"/>
        </w:rPr>
        <w:t xml:space="preserve">Select yes if the data reported in this indicator are not the same as the State’s data reported under </w:t>
      </w:r>
      <w:r w:rsidR="00EB0B26">
        <w:rPr>
          <w:b/>
          <w:color w:val="000000" w:themeColor="text1"/>
        </w:rPr>
        <w:t>S</w:t>
      </w:r>
      <w:r w:rsidRPr="00ED172B">
        <w:rPr>
          <w:b/>
          <w:color w:val="000000" w:themeColor="text1"/>
        </w:rPr>
        <w:t>ection 618 of the IDEA.</w:t>
      </w:r>
    </w:p>
    <w:p w14:paraId="5E65063B" w14:textId="60F60F49" w:rsidR="00C93FA8" w:rsidRDefault="00C93FA8">
      <w:pPr>
        <w:rPr>
          <w:color w:val="000000" w:themeColor="text1"/>
        </w:rPr>
      </w:pPr>
      <w:r w:rsidRPr="00ED172B">
        <w:rPr>
          <w:color w:val="000000" w:themeColor="text1"/>
        </w:rPr>
        <w:t>NO</w:t>
      </w:r>
    </w:p>
    <w:p w14:paraId="773CACCD" w14:textId="0E968C8A"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57DE7F66" w14:textId="77777777" w:rsidTr="00986B99">
        <w:trPr>
          <w:trHeight w:val="372"/>
          <w:tblHeader/>
        </w:trPr>
        <w:tc>
          <w:tcPr>
            <w:tcW w:w="1499" w:type="pct"/>
            <w:shd w:val="clear" w:color="auto" w:fill="auto"/>
          </w:tcPr>
          <w:p w14:paraId="6DBE2071" w14:textId="77777777" w:rsidR="00715B7C" w:rsidRPr="00ED172B" w:rsidRDefault="00715B7C" w:rsidP="00D21F29">
            <w:pPr>
              <w:spacing w:after="0"/>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1EF8583"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shd w:val="clear" w:color="auto" w:fill="auto"/>
          </w:tcPr>
          <w:p w14:paraId="4CE1D32C" w14:textId="77777777" w:rsidR="00715B7C" w:rsidRPr="00ED172B" w:rsidRDefault="00715B7C" w:rsidP="00D21F29">
            <w:pPr>
              <w:spacing w:after="0"/>
              <w:rPr>
                <w:rFonts w:cs="Arial"/>
                <w:b/>
                <w:color w:val="000000" w:themeColor="text1"/>
                <w:szCs w:val="16"/>
              </w:rPr>
            </w:pPr>
            <w:r w:rsidRPr="00ED172B">
              <w:rPr>
                <w:rFonts w:cs="Arial"/>
                <w:b/>
                <w:color w:val="000000" w:themeColor="text1"/>
                <w:szCs w:val="16"/>
              </w:rPr>
              <w:t>Description</w:t>
            </w:r>
          </w:p>
        </w:tc>
        <w:tc>
          <w:tcPr>
            <w:tcW w:w="708" w:type="pct"/>
            <w:shd w:val="clear" w:color="auto" w:fill="auto"/>
          </w:tcPr>
          <w:p w14:paraId="0E6F1DFF"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0F0EAF83" w14:textId="77777777" w:rsidTr="00986B99">
        <w:trPr>
          <w:trHeight w:val="380"/>
        </w:trPr>
        <w:tc>
          <w:tcPr>
            <w:tcW w:w="1499" w:type="pct"/>
            <w:shd w:val="clear" w:color="auto" w:fill="auto"/>
          </w:tcPr>
          <w:p w14:paraId="0DCA5C00" w14:textId="7E5B9680" w:rsidR="00715B7C" w:rsidRPr="00ED172B" w:rsidRDefault="00DE6DA4" w:rsidP="00715B7C">
            <w:pPr>
              <w:rPr>
                <w:rFonts w:cs="Arial"/>
                <w:color w:val="000000" w:themeColor="text1"/>
                <w:szCs w:val="16"/>
              </w:rPr>
            </w:pPr>
            <w:r w:rsidRPr="00ED172B">
              <w:rPr>
                <w:rFonts w:cs="Arial"/>
                <w:color w:val="000000" w:themeColor="text1"/>
                <w:szCs w:val="16"/>
              </w:rPr>
              <w:t>SY 2022-23 EMAPS IDEA Part C Dispute Resolution Survey; Section C: Due Process Complaints</w:t>
            </w:r>
          </w:p>
        </w:tc>
        <w:tc>
          <w:tcPr>
            <w:tcW w:w="1544" w:type="pct"/>
            <w:shd w:val="clear" w:color="auto" w:fill="auto"/>
          </w:tcPr>
          <w:p w14:paraId="27382DB7" w14:textId="09856F78" w:rsidR="00715B7C" w:rsidRPr="00ED172B" w:rsidRDefault="00DE6DA4" w:rsidP="00D21F29">
            <w:pPr>
              <w:jc w:val="center"/>
              <w:rPr>
                <w:rFonts w:cs="Arial"/>
                <w:color w:val="000000" w:themeColor="text1"/>
                <w:szCs w:val="16"/>
              </w:rPr>
            </w:pPr>
            <w:r w:rsidRPr="00ED172B">
              <w:rPr>
                <w:rFonts w:cs="Arial"/>
                <w:color w:val="000000" w:themeColor="text1"/>
                <w:szCs w:val="16"/>
              </w:rPr>
              <w:t>11/15/2023</w:t>
            </w:r>
          </w:p>
        </w:tc>
        <w:tc>
          <w:tcPr>
            <w:tcW w:w="1249" w:type="pct"/>
            <w:shd w:val="clear" w:color="auto" w:fill="auto"/>
          </w:tcPr>
          <w:p w14:paraId="313E846C"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shd w:val="clear" w:color="auto" w:fill="auto"/>
          </w:tcPr>
          <w:p w14:paraId="466AECE4" w14:textId="159B6125"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3F44ED9C" w14:textId="77777777" w:rsidTr="00986B99">
        <w:trPr>
          <w:trHeight w:val="380"/>
        </w:trPr>
        <w:tc>
          <w:tcPr>
            <w:tcW w:w="1499" w:type="pct"/>
            <w:shd w:val="clear" w:color="auto" w:fill="auto"/>
          </w:tcPr>
          <w:p w14:paraId="416FEF69" w14:textId="4F25D263" w:rsidR="00781A26" w:rsidRPr="00ED172B" w:rsidRDefault="00DE6DA4" w:rsidP="00781A26">
            <w:pPr>
              <w:rPr>
                <w:rFonts w:cs="Arial"/>
                <w:color w:val="000000" w:themeColor="text1"/>
                <w:szCs w:val="16"/>
              </w:rPr>
            </w:pPr>
            <w:r w:rsidRPr="00ED172B">
              <w:rPr>
                <w:rFonts w:cs="Arial"/>
                <w:color w:val="000000" w:themeColor="text1"/>
                <w:szCs w:val="16"/>
              </w:rPr>
              <w:t>SY 2022-23 EMAPS IDEA Part C Dispute Resolution Survey; Section C: Due Process Complaints</w:t>
            </w:r>
          </w:p>
        </w:tc>
        <w:tc>
          <w:tcPr>
            <w:tcW w:w="1544" w:type="pct"/>
            <w:shd w:val="clear" w:color="auto" w:fill="auto"/>
          </w:tcPr>
          <w:p w14:paraId="7E40592C" w14:textId="6E19FFD4" w:rsidR="00781A26" w:rsidRPr="00ED172B" w:rsidRDefault="00DE6DA4" w:rsidP="00D21F29">
            <w:pPr>
              <w:jc w:val="center"/>
              <w:rPr>
                <w:rFonts w:cs="Arial"/>
                <w:color w:val="000000" w:themeColor="text1"/>
                <w:szCs w:val="16"/>
              </w:rPr>
            </w:pPr>
            <w:r w:rsidRPr="00ED172B">
              <w:rPr>
                <w:rFonts w:cs="Arial"/>
                <w:color w:val="000000" w:themeColor="text1"/>
                <w:szCs w:val="16"/>
              </w:rPr>
              <w:t>11/15/2023</w:t>
            </w:r>
          </w:p>
        </w:tc>
        <w:tc>
          <w:tcPr>
            <w:tcW w:w="1249" w:type="pct"/>
            <w:shd w:val="clear" w:color="auto" w:fill="auto"/>
          </w:tcPr>
          <w:p w14:paraId="05A9D883"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shd w:val="clear" w:color="auto" w:fill="auto"/>
          </w:tcPr>
          <w:p w14:paraId="5FE3BFE0" w14:textId="4AA3C68B"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4958D93" w14:textId="29DB6EC5" w:rsidR="004761C7" w:rsidRDefault="00F80C9C" w:rsidP="00B83404">
      <w:pPr>
        <w:rPr>
          <w:b/>
          <w:color w:val="000000" w:themeColor="text1"/>
        </w:rPr>
      </w:pPr>
      <w:r w:rsidRPr="00ED172B">
        <w:rPr>
          <w:b/>
          <w:color w:val="000000" w:themeColor="text1"/>
        </w:rPr>
        <w:t>Targets: Description of Stakeholder Input</w:t>
      </w:r>
    </w:p>
    <w:p w14:paraId="79D10E37" w14:textId="2741EC14" w:rsidR="004761C7" w:rsidRDefault="00CF03E0" w:rsidP="00CF03E0">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lastRenderedPageBreak/>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2A44ABCF" w14:textId="6B1152E6" w:rsidR="00F80C9C" w:rsidRPr="00ED172B" w:rsidRDefault="00F80C9C" w:rsidP="00B83404">
      <w:pPr>
        <w:rPr>
          <w:color w:val="000000" w:themeColor="text1"/>
        </w:rPr>
      </w:pPr>
      <w:r w:rsidRPr="00ED172B">
        <w:rPr>
          <w:b/>
          <w:color w:val="000000" w:themeColor="text1"/>
        </w:rPr>
        <w:t xml:space="preserve"> </w:t>
      </w:r>
    </w:p>
    <w:p w14:paraId="053E97E5" w14:textId="37EB61CD" w:rsidR="0097671A" w:rsidRDefault="0097671A" w:rsidP="00B83404">
      <w:pPr>
        <w:rPr>
          <w:b/>
          <w:color w:val="000000" w:themeColor="text1"/>
        </w:rPr>
      </w:pPr>
      <w:r w:rsidRPr="00ED172B">
        <w:rPr>
          <w:b/>
          <w:color w:val="000000" w:themeColor="text1"/>
        </w:rPr>
        <w:t>Historical Data</w:t>
      </w:r>
    </w:p>
    <w:p w14:paraId="5C13CB90" w14:textId="168F1E1A"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2899"/>
        <w:gridCol w:w="875"/>
      </w:tblGrid>
      <w:tr w:rsidR="000378F3" w:rsidRPr="00ED172B" w14:paraId="5D674062" w14:textId="77777777" w:rsidTr="00A40EE1">
        <w:trPr>
          <w:trHeight w:val="350"/>
          <w:tblHeader/>
        </w:trPr>
        <w:tc>
          <w:tcPr>
            <w:tcW w:w="4285" w:type="pct"/>
            <w:tcBorders>
              <w:bottom w:val="single" w:sz="4" w:space="0" w:color="auto"/>
            </w:tcBorders>
            <w:shd w:val="clear" w:color="auto" w:fill="auto"/>
            <w:vAlign w:val="center"/>
          </w:tcPr>
          <w:p w14:paraId="2AA1DA82" w14:textId="77777777" w:rsidR="000378F3" w:rsidRPr="001071FD" w:rsidRDefault="000378F3"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1E48796E"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54294D6B" w14:textId="77777777" w:rsidTr="00A40EE1">
        <w:trPr>
          <w:trHeight w:val="350"/>
        </w:trPr>
        <w:tc>
          <w:tcPr>
            <w:tcW w:w="4285" w:type="pct"/>
            <w:tcBorders>
              <w:bottom w:val="single" w:sz="4" w:space="0" w:color="auto"/>
            </w:tcBorders>
            <w:shd w:val="clear" w:color="auto" w:fill="auto"/>
          </w:tcPr>
          <w:p w14:paraId="5D1DDE1F" w14:textId="0B775C2C" w:rsidR="000378F3" w:rsidRPr="00ED172B" w:rsidRDefault="000378F3" w:rsidP="000378F3">
            <w:pPr>
              <w:jc w:val="center"/>
              <w:rPr>
                <w:b/>
                <w:color w:val="000000" w:themeColor="text1"/>
              </w:rPr>
            </w:pPr>
          </w:p>
        </w:tc>
        <w:tc>
          <w:tcPr>
            <w:tcW w:w="715" w:type="pct"/>
            <w:shd w:val="clear" w:color="auto" w:fill="auto"/>
            <w:vAlign w:val="center"/>
          </w:tcPr>
          <w:p w14:paraId="5DDF2207" w14:textId="136FC9D3" w:rsidR="000378F3" w:rsidRPr="00ED172B" w:rsidRDefault="000378F3" w:rsidP="000378F3">
            <w:pPr>
              <w:jc w:val="center"/>
              <w:rPr>
                <w:color w:val="000000" w:themeColor="text1"/>
              </w:rPr>
            </w:pPr>
          </w:p>
        </w:tc>
      </w:tr>
    </w:tbl>
    <w:p w14:paraId="0B828E82"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50D09D1B" w14:textId="77777777" w:rsidTr="00986B99">
        <w:trPr>
          <w:trHeight w:val="350"/>
        </w:trPr>
        <w:tc>
          <w:tcPr>
            <w:tcW w:w="623" w:type="pct"/>
            <w:tcBorders>
              <w:bottom w:val="single" w:sz="4" w:space="0" w:color="auto"/>
            </w:tcBorders>
            <w:shd w:val="clear" w:color="auto" w:fill="auto"/>
          </w:tcPr>
          <w:p w14:paraId="24CECAC2"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2C452BB3" w14:textId="6C7A4F55" w:rsidR="0097671A" w:rsidRPr="00ED172B" w:rsidRDefault="002163F2" w:rsidP="00CD79C5">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tcPr>
          <w:p w14:paraId="74AA46D8" w14:textId="082635B6" w:rsidR="0097671A"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14:paraId="436CBDFC" w14:textId="3C64BF3F"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3DC14D94" w14:textId="7764CE07"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3BCA0939" w14:textId="3CB37DBE" w:rsidR="0097671A" w:rsidRPr="00ED172B" w:rsidRDefault="006D43D3" w:rsidP="00CD79C5">
            <w:pPr>
              <w:jc w:val="center"/>
              <w:rPr>
                <w:rFonts w:cs="Arial"/>
                <w:b/>
                <w:color w:val="000000" w:themeColor="text1"/>
                <w:szCs w:val="16"/>
              </w:rPr>
            </w:pPr>
            <w:r w:rsidRPr="00ED172B">
              <w:rPr>
                <w:rFonts w:cs="Arial"/>
                <w:b/>
                <w:color w:val="000000" w:themeColor="text1"/>
                <w:szCs w:val="16"/>
              </w:rPr>
              <w:t>2021</w:t>
            </w:r>
          </w:p>
        </w:tc>
      </w:tr>
      <w:tr w:rsidR="00ED172B" w:rsidRPr="00ED172B" w14:paraId="6BD70006" w14:textId="77777777" w:rsidTr="00986B99">
        <w:trPr>
          <w:trHeight w:val="357"/>
        </w:trPr>
        <w:tc>
          <w:tcPr>
            <w:tcW w:w="623" w:type="pct"/>
            <w:shd w:val="clear" w:color="auto" w:fill="auto"/>
          </w:tcPr>
          <w:p w14:paraId="6E2806FF" w14:textId="4CEBA529" w:rsidR="0097671A" w:rsidRPr="00ED172B" w:rsidRDefault="0097671A"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10A15DF3" w14:textId="64321DD5" w:rsidR="0097671A" w:rsidRPr="00ED172B" w:rsidRDefault="0097671A" w:rsidP="00186420">
            <w:pPr>
              <w:jc w:val="center"/>
              <w:rPr>
                <w:rFonts w:cs="Arial"/>
                <w:color w:val="000000" w:themeColor="text1"/>
                <w:szCs w:val="16"/>
              </w:rPr>
            </w:pPr>
          </w:p>
        </w:tc>
        <w:tc>
          <w:tcPr>
            <w:tcW w:w="875" w:type="pct"/>
            <w:shd w:val="clear" w:color="auto" w:fill="auto"/>
          </w:tcPr>
          <w:p w14:paraId="199DE9C1" w14:textId="7EE343A1" w:rsidR="0097671A" w:rsidRPr="00ED172B" w:rsidRDefault="004374D6" w:rsidP="00186420">
            <w:pPr>
              <w:jc w:val="center"/>
              <w:rPr>
                <w:rFonts w:cs="Arial"/>
                <w:color w:val="000000" w:themeColor="text1"/>
                <w:szCs w:val="16"/>
              </w:rPr>
            </w:pPr>
            <w:r w:rsidRPr="00ED172B">
              <w:rPr>
                <w:rFonts w:cs="Arial"/>
                <w:color w:val="000000" w:themeColor="text1"/>
                <w:szCs w:val="16"/>
              </w:rPr>
              <w:t>0.00%</w:t>
            </w:r>
          </w:p>
        </w:tc>
        <w:tc>
          <w:tcPr>
            <w:tcW w:w="875" w:type="pct"/>
            <w:shd w:val="clear" w:color="auto" w:fill="auto"/>
            <w:vAlign w:val="center"/>
          </w:tcPr>
          <w:p w14:paraId="5A1D469C" w14:textId="187B80D4" w:rsidR="0097671A" w:rsidRPr="00ED172B" w:rsidRDefault="004374D6" w:rsidP="00186420">
            <w:pPr>
              <w:jc w:val="center"/>
              <w:rPr>
                <w:rFonts w:cs="Arial"/>
                <w:color w:val="000000" w:themeColor="text1"/>
                <w:szCs w:val="16"/>
              </w:rPr>
            </w:pPr>
            <w:r w:rsidRPr="00ED172B">
              <w:rPr>
                <w:rFonts w:cs="Arial"/>
                <w:color w:val="000000" w:themeColor="text1"/>
                <w:szCs w:val="16"/>
              </w:rPr>
              <w:t>.00%</w:t>
            </w:r>
          </w:p>
        </w:tc>
        <w:tc>
          <w:tcPr>
            <w:tcW w:w="875" w:type="pct"/>
            <w:shd w:val="clear" w:color="auto" w:fill="auto"/>
            <w:vAlign w:val="center"/>
          </w:tcPr>
          <w:p w14:paraId="302AC309" w14:textId="12F17218" w:rsidR="0097671A" w:rsidRPr="00ED172B" w:rsidRDefault="0097671A" w:rsidP="00186420">
            <w:pPr>
              <w:jc w:val="center"/>
              <w:rPr>
                <w:rFonts w:cs="Arial"/>
                <w:color w:val="000000" w:themeColor="text1"/>
                <w:szCs w:val="16"/>
              </w:rPr>
            </w:pPr>
          </w:p>
        </w:tc>
        <w:tc>
          <w:tcPr>
            <w:tcW w:w="875" w:type="pct"/>
            <w:shd w:val="clear" w:color="auto" w:fill="auto"/>
            <w:vAlign w:val="center"/>
          </w:tcPr>
          <w:p w14:paraId="73890D7A" w14:textId="5DE654E0" w:rsidR="0097671A" w:rsidRPr="00ED172B" w:rsidRDefault="0097671A" w:rsidP="00186420">
            <w:pPr>
              <w:jc w:val="center"/>
              <w:rPr>
                <w:rFonts w:cs="Arial"/>
                <w:color w:val="000000" w:themeColor="text1"/>
                <w:szCs w:val="16"/>
              </w:rPr>
            </w:pPr>
          </w:p>
        </w:tc>
      </w:tr>
      <w:tr w:rsidR="00ED172B" w:rsidRPr="00ED172B" w14:paraId="2B4D2800" w14:textId="77777777" w:rsidTr="00986B99">
        <w:trPr>
          <w:trHeight w:val="85"/>
        </w:trPr>
        <w:tc>
          <w:tcPr>
            <w:tcW w:w="623" w:type="pct"/>
            <w:shd w:val="clear" w:color="auto" w:fill="auto"/>
          </w:tcPr>
          <w:p w14:paraId="3228C604"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61414737" w14:textId="1FAC65D5" w:rsidR="0097671A" w:rsidRPr="00ED172B" w:rsidRDefault="0097671A" w:rsidP="00186420">
            <w:pPr>
              <w:jc w:val="center"/>
              <w:rPr>
                <w:rFonts w:cs="Arial"/>
                <w:color w:val="000000" w:themeColor="text1"/>
                <w:szCs w:val="16"/>
              </w:rPr>
            </w:pPr>
          </w:p>
        </w:tc>
        <w:tc>
          <w:tcPr>
            <w:tcW w:w="875" w:type="pct"/>
            <w:shd w:val="clear" w:color="auto" w:fill="auto"/>
          </w:tcPr>
          <w:p w14:paraId="2055F8ED" w14:textId="1DEAE662"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D3B5DD0" w14:textId="0955CDE8"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098AB382" w14:textId="24E06A23" w:rsidR="0097671A" w:rsidRPr="00ED172B" w:rsidRDefault="0097671A"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29152585" w14:textId="546A3CEB" w:rsidR="0097671A" w:rsidRPr="00ED172B" w:rsidRDefault="0097671A" w:rsidP="00186420">
            <w:pPr>
              <w:jc w:val="center"/>
              <w:rPr>
                <w:rFonts w:cs="Arial"/>
                <w:color w:val="000000" w:themeColor="text1"/>
                <w:szCs w:val="16"/>
              </w:rPr>
            </w:pPr>
          </w:p>
        </w:tc>
      </w:tr>
    </w:tbl>
    <w:p w14:paraId="17D401B0" w14:textId="77777777" w:rsidR="004559B9" w:rsidRDefault="004559B9" w:rsidP="00B83404">
      <w:pPr>
        <w:rPr>
          <w:rFonts w:cs="Arial"/>
          <w:color w:val="000000" w:themeColor="text1"/>
          <w:szCs w:val="16"/>
        </w:rPr>
      </w:pPr>
    </w:p>
    <w:p w14:paraId="20843C52" w14:textId="713325C4" w:rsidR="0097671A" w:rsidRPr="00ED172B" w:rsidRDefault="0097671A" w:rsidP="00B83404">
      <w:pPr>
        <w:rPr>
          <w:color w:val="000000" w:themeColor="text1"/>
        </w:rPr>
      </w:pPr>
      <w:r w:rsidRPr="00ED172B">
        <w:rPr>
          <w:b/>
          <w:color w:val="000000" w:themeColor="text1"/>
        </w:rPr>
        <w:t>Targets</w:t>
      </w:r>
    </w:p>
    <w:tbl>
      <w:tblPr>
        <w:tblW w:w="4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1869"/>
        <w:gridCol w:w="2004"/>
        <w:gridCol w:w="2004"/>
        <w:gridCol w:w="2003"/>
      </w:tblGrid>
      <w:tr w:rsidR="00C843AF" w:rsidRPr="00ED172B" w14:paraId="1D0639C9" w14:textId="3417AA8E" w:rsidTr="00E415ED">
        <w:trPr>
          <w:trHeight w:val="306"/>
        </w:trPr>
        <w:tc>
          <w:tcPr>
            <w:tcW w:w="402" w:type="pct"/>
            <w:tcBorders>
              <w:bottom w:val="single" w:sz="4" w:space="0" w:color="auto"/>
            </w:tcBorders>
            <w:shd w:val="clear" w:color="auto" w:fill="auto"/>
            <w:vAlign w:val="center"/>
          </w:tcPr>
          <w:p w14:paraId="0C0ADAF4" w14:textId="77777777" w:rsidR="00C843AF" w:rsidRPr="00ED172B" w:rsidRDefault="00C843AF" w:rsidP="00C375EA">
            <w:pPr>
              <w:jc w:val="center"/>
              <w:rPr>
                <w:b/>
                <w:color w:val="000000" w:themeColor="text1"/>
              </w:rPr>
            </w:pPr>
            <w:r w:rsidRPr="00ED172B">
              <w:rPr>
                <w:b/>
                <w:color w:val="000000" w:themeColor="text1"/>
              </w:rPr>
              <w:t>FFY</w:t>
            </w:r>
          </w:p>
        </w:tc>
        <w:tc>
          <w:tcPr>
            <w:tcW w:w="1092" w:type="pct"/>
            <w:shd w:val="clear" w:color="auto" w:fill="auto"/>
            <w:vAlign w:val="center"/>
          </w:tcPr>
          <w:p w14:paraId="177E68DB" w14:textId="36EAF4BA" w:rsidR="00C843AF" w:rsidRPr="00ED172B" w:rsidRDefault="00C843AF" w:rsidP="00C375EA">
            <w:pPr>
              <w:jc w:val="center"/>
              <w:rPr>
                <w:b/>
                <w:color w:val="000000" w:themeColor="text1"/>
              </w:rPr>
            </w:pPr>
            <w:r w:rsidRPr="00ED172B">
              <w:rPr>
                <w:b/>
                <w:color w:val="000000" w:themeColor="text1"/>
              </w:rPr>
              <w:t>2022</w:t>
            </w:r>
          </w:p>
        </w:tc>
        <w:tc>
          <w:tcPr>
            <w:tcW w:w="1169" w:type="pct"/>
          </w:tcPr>
          <w:p w14:paraId="0AF6E35B" w14:textId="51849C6B" w:rsidR="00C843AF" w:rsidRPr="00ED172B" w:rsidRDefault="00C843AF" w:rsidP="00C375EA">
            <w:pPr>
              <w:jc w:val="center"/>
              <w:rPr>
                <w:b/>
                <w:color w:val="000000" w:themeColor="text1"/>
              </w:rPr>
            </w:pPr>
            <w:r>
              <w:rPr>
                <w:rFonts w:cs="Arial"/>
                <w:b/>
                <w:color w:val="000000" w:themeColor="text1"/>
                <w:szCs w:val="16"/>
              </w:rPr>
              <w:t>2023</w:t>
            </w:r>
          </w:p>
        </w:tc>
        <w:tc>
          <w:tcPr>
            <w:tcW w:w="1169" w:type="pct"/>
          </w:tcPr>
          <w:p w14:paraId="3C7CBE66" w14:textId="677190A8" w:rsidR="00C843AF" w:rsidRPr="00ED172B" w:rsidRDefault="00C843AF" w:rsidP="00C375EA">
            <w:pPr>
              <w:jc w:val="center"/>
              <w:rPr>
                <w:b/>
                <w:color w:val="000000" w:themeColor="text1"/>
              </w:rPr>
            </w:pPr>
            <w:r w:rsidRPr="005A1B4F">
              <w:rPr>
                <w:rFonts w:cs="Arial"/>
                <w:b/>
                <w:color w:val="000000" w:themeColor="text1"/>
                <w:szCs w:val="16"/>
              </w:rPr>
              <w:t>2024</w:t>
            </w:r>
          </w:p>
        </w:tc>
        <w:tc>
          <w:tcPr>
            <w:tcW w:w="1169" w:type="pct"/>
          </w:tcPr>
          <w:p w14:paraId="18A12C91" w14:textId="0AC76A6E" w:rsidR="00C843AF" w:rsidRPr="00ED172B" w:rsidRDefault="00C843AF" w:rsidP="00C375EA">
            <w:pPr>
              <w:jc w:val="center"/>
              <w:rPr>
                <w:b/>
                <w:color w:val="000000" w:themeColor="text1"/>
              </w:rPr>
            </w:pPr>
            <w:r w:rsidRPr="005A1B4F">
              <w:rPr>
                <w:rFonts w:cs="Arial"/>
                <w:b/>
                <w:color w:val="000000" w:themeColor="text1"/>
                <w:szCs w:val="16"/>
              </w:rPr>
              <w:t>2025</w:t>
            </w:r>
          </w:p>
        </w:tc>
      </w:tr>
      <w:tr w:rsidR="00C843AF" w:rsidRPr="00ED172B" w14:paraId="636215D6" w14:textId="4BA04A28" w:rsidTr="00E415ED">
        <w:trPr>
          <w:trHeight w:val="312"/>
        </w:trPr>
        <w:tc>
          <w:tcPr>
            <w:tcW w:w="402" w:type="pct"/>
            <w:shd w:val="clear" w:color="auto" w:fill="auto"/>
          </w:tcPr>
          <w:p w14:paraId="12E3864D" w14:textId="15C14C13" w:rsidR="00C843AF" w:rsidRPr="00ED172B" w:rsidRDefault="00C843AF" w:rsidP="00D21F29">
            <w:pPr>
              <w:jc w:val="center"/>
              <w:rPr>
                <w:rFonts w:cs="Arial"/>
                <w:color w:val="000000" w:themeColor="text1"/>
                <w:szCs w:val="16"/>
              </w:rPr>
            </w:pPr>
            <w:r w:rsidRPr="00ED172B">
              <w:rPr>
                <w:rFonts w:cs="Arial"/>
                <w:color w:val="000000" w:themeColor="text1"/>
                <w:szCs w:val="16"/>
              </w:rPr>
              <w:t>Target&gt;=</w:t>
            </w:r>
          </w:p>
        </w:tc>
        <w:tc>
          <w:tcPr>
            <w:tcW w:w="1092" w:type="pct"/>
            <w:shd w:val="clear" w:color="auto" w:fill="auto"/>
            <w:vAlign w:val="center"/>
          </w:tcPr>
          <w:p w14:paraId="3DA3E6E1" w14:textId="3EEF45C3" w:rsidR="00C843AF" w:rsidRPr="00ED172B" w:rsidRDefault="00C843AF" w:rsidP="00C375EA">
            <w:pPr>
              <w:jc w:val="center"/>
              <w:rPr>
                <w:color w:val="000000" w:themeColor="text1"/>
              </w:rPr>
            </w:pPr>
          </w:p>
        </w:tc>
        <w:tc>
          <w:tcPr>
            <w:tcW w:w="1169" w:type="pct"/>
          </w:tcPr>
          <w:p w14:paraId="5F49CD7A" w14:textId="5AFE9567" w:rsidR="00C843AF" w:rsidRPr="00ED172B" w:rsidRDefault="00C843AF" w:rsidP="00C375EA">
            <w:pPr>
              <w:jc w:val="center"/>
              <w:rPr>
                <w:color w:val="000000" w:themeColor="text1"/>
              </w:rPr>
            </w:pPr>
          </w:p>
        </w:tc>
        <w:tc>
          <w:tcPr>
            <w:tcW w:w="1169" w:type="pct"/>
          </w:tcPr>
          <w:p w14:paraId="2D5C9F35" w14:textId="4424DF23" w:rsidR="00C843AF" w:rsidRPr="00ED172B" w:rsidRDefault="00C843AF" w:rsidP="00C375EA">
            <w:pPr>
              <w:jc w:val="center"/>
              <w:rPr>
                <w:color w:val="000000" w:themeColor="text1"/>
              </w:rPr>
            </w:pPr>
          </w:p>
        </w:tc>
        <w:tc>
          <w:tcPr>
            <w:tcW w:w="1169" w:type="pct"/>
          </w:tcPr>
          <w:p w14:paraId="55547E95" w14:textId="33DF8D0C" w:rsidR="00C843AF" w:rsidRPr="00ED172B" w:rsidRDefault="00C843AF" w:rsidP="00C375EA">
            <w:pPr>
              <w:jc w:val="center"/>
              <w:rPr>
                <w:color w:val="000000" w:themeColor="text1"/>
              </w:rPr>
            </w:pPr>
          </w:p>
        </w:tc>
      </w:tr>
    </w:tbl>
    <w:p w14:paraId="5253FEE5" w14:textId="77777777" w:rsidR="008A4FF2" w:rsidRPr="00ED172B" w:rsidRDefault="008A4FF2" w:rsidP="00B83404">
      <w:pPr>
        <w:rPr>
          <w:color w:val="000000" w:themeColor="text1"/>
        </w:rPr>
      </w:pPr>
    </w:p>
    <w:p w14:paraId="426F7B13" w14:textId="179FA128" w:rsidR="0097671A" w:rsidRPr="00ED172B" w:rsidRDefault="00F22D09" w:rsidP="00B83404">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2D68288D" w14:textId="77777777" w:rsidTr="00986B99">
        <w:trPr>
          <w:trHeight w:val="354"/>
          <w:tblHeader/>
        </w:trPr>
        <w:tc>
          <w:tcPr>
            <w:tcW w:w="1457" w:type="pct"/>
            <w:shd w:val="clear" w:color="auto" w:fill="auto"/>
            <w:vAlign w:val="bottom"/>
          </w:tcPr>
          <w:p w14:paraId="49D1712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shd w:val="clear" w:color="auto" w:fill="auto"/>
            <w:vAlign w:val="bottom"/>
          </w:tcPr>
          <w:p w14:paraId="02EFAD0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shd w:val="clear" w:color="auto" w:fill="auto"/>
            <w:vAlign w:val="bottom"/>
          </w:tcPr>
          <w:p w14:paraId="3FCEC688" w14:textId="61F62AA9" w:rsidR="0097671A" w:rsidRPr="00ED172B" w:rsidRDefault="00CD74B5" w:rsidP="00CD79C5">
            <w:pPr>
              <w:jc w:val="center"/>
              <w:rPr>
                <w:rFonts w:cs="Arial"/>
                <w:b/>
                <w:color w:val="000000" w:themeColor="text1"/>
                <w:szCs w:val="16"/>
              </w:rPr>
            </w:pPr>
            <w:r>
              <w:rPr>
                <w:rFonts w:cs="Arial"/>
                <w:b/>
                <w:color w:val="000000" w:themeColor="text1"/>
                <w:szCs w:val="16"/>
              </w:rPr>
              <w:t>FFY 2021 Data</w:t>
            </w:r>
          </w:p>
        </w:tc>
        <w:tc>
          <w:tcPr>
            <w:tcW w:w="625" w:type="pct"/>
            <w:shd w:val="clear" w:color="auto" w:fill="auto"/>
            <w:vAlign w:val="bottom"/>
          </w:tcPr>
          <w:p w14:paraId="7AA31E14" w14:textId="3BCF78E6" w:rsidR="0097671A" w:rsidRPr="00ED172B" w:rsidRDefault="00F22D09" w:rsidP="00CD79C5">
            <w:pPr>
              <w:jc w:val="center"/>
              <w:rPr>
                <w:rFonts w:cs="Arial"/>
                <w:b/>
                <w:color w:val="000000" w:themeColor="text1"/>
                <w:szCs w:val="16"/>
              </w:rPr>
            </w:pPr>
            <w:r>
              <w:rPr>
                <w:rFonts w:cs="Arial"/>
                <w:b/>
                <w:color w:val="000000" w:themeColor="text1"/>
                <w:szCs w:val="16"/>
              </w:rPr>
              <w:t>FFY 2022 Target</w:t>
            </w:r>
          </w:p>
        </w:tc>
        <w:tc>
          <w:tcPr>
            <w:tcW w:w="543" w:type="pct"/>
            <w:shd w:val="clear" w:color="auto" w:fill="auto"/>
            <w:vAlign w:val="bottom"/>
          </w:tcPr>
          <w:p w14:paraId="5EC5F1D4" w14:textId="215DF1CA" w:rsidR="0097671A" w:rsidRPr="00ED172B" w:rsidRDefault="00F22D09" w:rsidP="00CD79C5">
            <w:pPr>
              <w:jc w:val="center"/>
              <w:rPr>
                <w:rFonts w:cs="Arial"/>
                <w:b/>
                <w:color w:val="000000" w:themeColor="text1"/>
                <w:szCs w:val="16"/>
              </w:rPr>
            </w:pPr>
            <w:r>
              <w:rPr>
                <w:rFonts w:cs="Arial"/>
                <w:b/>
                <w:color w:val="000000" w:themeColor="text1"/>
                <w:szCs w:val="16"/>
              </w:rPr>
              <w:t>FFY 2022 Data</w:t>
            </w:r>
          </w:p>
        </w:tc>
        <w:tc>
          <w:tcPr>
            <w:tcW w:w="418" w:type="pct"/>
            <w:shd w:val="clear" w:color="auto" w:fill="auto"/>
            <w:vAlign w:val="bottom"/>
          </w:tcPr>
          <w:p w14:paraId="6ADB48ED"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989900C"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37CD87A3" w14:textId="77777777" w:rsidTr="00986B99">
        <w:trPr>
          <w:trHeight w:val="361"/>
        </w:trPr>
        <w:tc>
          <w:tcPr>
            <w:tcW w:w="1457" w:type="pct"/>
            <w:shd w:val="clear" w:color="auto" w:fill="auto"/>
            <w:vAlign w:val="center"/>
          </w:tcPr>
          <w:p w14:paraId="0FE87D5F" w14:textId="75DA145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shd w:val="clear" w:color="auto" w:fill="auto"/>
            <w:vAlign w:val="center"/>
          </w:tcPr>
          <w:p w14:paraId="651E5850" w14:textId="75E294A3"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shd w:val="clear" w:color="auto" w:fill="auto"/>
            <w:vAlign w:val="center"/>
          </w:tcPr>
          <w:p w14:paraId="582ED4BF" w14:textId="14CEB578" w:rsidR="0097671A" w:rsidRPr="00ED172B" w:rsidRDefault="0097671A" w:rsidP="00B83404">
            <w:pPr>
              <w:jc w:val="center"/>
              <w:rPr>
                <w:rFonts w:cs="Arial"/>
                <w:color w:val="000000" w:themeColor="text1"/>
                <w:szCs w:val="16"/>
              </w:rPr>
            </w:pPr>
          </w:p>
        </w:tc>
        <w:tc>
          <w:tcPr>
            <w:tcW w:w="625" w:type="pct"/>
            <w:shd w:val="clear" w:color="auto" w:fill="auto"/>
            <w:vAlign w:val="center"/>
          </w:tcPr>
          <w:p w14:paraId="17A47B81" w14:textId="3C3E3D7E" w:rsidR="0097671A" w:rsidRPr="00ED172B" w:rsidRDefault="0097671A" w:rsidP="00320806">
            <w:pPr>
              <w:jc w:val="center"/>
              <w:rPr>
                <w:color w:val="000000" w:themeColor="text1"/>
              </w:rPr>
            </w:pPr>
          </w:p>
        </w:tc>
        <w:tc>
          <w:tcPr>
            <w:tcW w:w="543" w:type="pct"/>
            <w:shd w:val="clear" w:color="auto" w:fill="auto"/>
            <w:vAlign w:val="center"/>
          </w:tcPr>
          <w:p w14:paraId="1C22CEB8" w14:textId="0945F0AD" w:rsidR="0097671A" w:rsidRPr="00ED172B" w:rsidRDefault="0097671A" w:rsidP="00B83404">
            <w:pPr>
              <w:jc w:val="center"/>
              <w:rPr>
                <w:rFonts w:cs="Arial"/>
                <w:color w:val="000000" w:themeColor="text1"/>
                <w:szCs w:val="16"/>
              </w:rPr>
            </w:pPr>
          </w:p>
        </w:tc>
        <w:tc>
          <w:tcPr>
            <w:tcW w:w="418" w:type="pct"/>
            <w:shd w:val="clear" w:color="auto" w:fill="auto"/>
            <w:vAlign w:val="center"/>
          </w:tcPr>
          <w:p w14:paraId="7E612DED" w14:textId="6246EF50" w:rsidR="0097671A" w:rsidRPr="00ED172B" w:rsidRDefault="00320806" w:rsidP="00320806">
            <w:pPr>
              <w:jc w:val="center"/>
              <w:rPr>
                <w:color w:val="000000" w:themeColor="text1"/>
              </w:rPr>
            </w:pPr>
            <w:r w:rsidRPr="00ED172B">
              <w:rPr>
                <w:color w:val="000000" w:themeColor="text1"/>
              </w:rPr>
              <w:t>N/A</w:t>
            </w:r>
          </w:p>
        </w:tc>
        <w:tc>
          <w:tcPr>
            <w:tcW w:w="455" w:type="pct"/>
            <w:shd w:val="clear" w:color="auto" w:fill="auto"/>
            <w:vAlign w:val="center"/>
          </w:tcPr>
          <w:p w14:paraId="712BC911" w14:textId="5568AC95" w:rsidR="0097671A" w:rsidRPr="00ED172B" w:rsidRDefault="00320806" w:rsidP="00320806">
            <w:pPr>
              <w:jc w:val="center"/>
              <w:rPr>
                <w:color w:val="000000" w:themeColor="text1"/>
              </w:rPr>
            </w:pPr>
            <w:r w:rsidRPr="00ED172B">
              <w:rPr>
                <w:color w:val="000000" w:themeColor="text1"/>
              </w:rPr>
              <w:t>N/A</w:t>
            </w:r>
          </w:p>
        </w:tc>
      </w:tr>
    </w:tbl>
    <w:p w14:paraId="1BDF33AF"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5CCE6F41" w14:textId="66AEFFE6" w:rsidR="0097671A" w:rsidRPr="00ED172B" w:rsidRDefault="00860830" w:rsidP="0097671A">
      <w:pPr>
        <w:rPr>
          <w:rFonts w:cs="Arial"/>
          <w:color w:val="000000" w:themeColor="text1"/>
          <w:szCs w:val="16"/>
        </w:rPr>
      </w:pPr>
      <w:r w:rsidRPr="00ED172B">
        <w:rPr>
          <w:rFonts w:cs="Arial"/>
          <w:color w:val="000000" w:themeColor="text1"/>
          <w:szCs w:val="16"/>
        </w:rPr>
        <w:t>The State reported fewer than ten dispute resolutions held in FFY 2022. The State is not required to provide targets until any fiscal year in which ten or more mediations were held. The IDEA Part C Office does report de-identified complaint information to both the Interagency Coordinating Council and to the Nevada Early Intervention Services system programs during monthly technical assistance calls as standing agenda items.</w:t>
      </w: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4" w:name="_Toc381786825"/>
      <w:bookmarkStart w:id="55" w:name="_Toc382731915"/>
      <w:bookmarkStart w:id="56" w:name="_Toc392159343"/>
      <w:bookmarkEnd w:id="52"/>
      <w:bookmarkEnd w:id="53"/>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None</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The State reported fewer than ten resolution sessions held in FFY 2022. The State is not required to provide targets until any fiscal year in which ten or more resolution sessions were held.</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DC0682" w:rsidP="00320806">
      <w:pPr>
        <w:rPr>
          <w:color w:val="000000" w:themeColor="text1"/>
        </w:rPr>
      </w:pPr>
    </w:p>
    <w:p w14:paraId="0B4933B5" w14:textId="77777777" w:rsidR="00B87A9B" w:rsidRDefault="00B87A9B">
      <w:pPr>
        <w:spacing w:before="0" w:after="200" w:line="276" w:lineRule="auto"/>
        <w:rPr>
          <w:rFonts w:eastAsiaTheme="majorEastAsia" w:cstheme="majorBidi"/>
          <w:b/>
          <w:bCs/>
          <w:color w:val="000000" w:themeColor="text1"/>
          <w:sz w:val="22"/>
          <w:szCs w:val="28"/>
        </w:rPr>
      </w:pPr>
      <w:bookmarkStart w:id="57" w:name="_Hlk109646703"/>
      <w:r>
        <w:rPr>
          <w:color w:val="000000" w:themeColor="text1"/>
        </w:rPr>
        <w:br w:type="page"/>
      </w:r>
    </w:p>
    <w:p w14:paraId="40C7A32D" w14:textId="4F9B1388"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4"/>
      <w:bookmarkEnd w:id="55"/>
      <w:bookmarkEnd w:id="56"/>
    </w:p>
    <w:p w14:paraId="68E62423" w14:textId="77777777" w:rsidR="00F51610" w:rsidRPr="00ED172B" w:rsidRDefault="00F51610" w:rsidP="00186420">
      <w:pPr>
        <w:rPr>
          <w:color w:val="000000" w:themeColor="text1"/>
          <w:szCs w:val="20"/>
        </w:rPr>
      </w:pPr>
      <w:bookmarkStart w:id="58" w:name="_Toc382731916"/>
      <w:bookmarkStart w:id="59"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EBB7969" w14:textId="77777777" w:rsidR="00F90BF8"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1EC49035"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mediations is less than 10. In a reporting period when the number of mediations reaches 10 or greater, the State must develop baseline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7"/>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r w:rsidRPr="00ED172B">
        <w:rPr>
          <w:rFonts w:cs="Arial"/>
          <w:color w:val="000000" w:themeColor="text1"/>
          <w:szCs w:val="16"/>
        </w:rPr>
        <w:t>Target Range not used</w:t>
      </w:r>
    </w:p>
    <w:p w14:paraId="69A772DE" w14:textId="75DD0403"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w:t>
      </w:r>
      <w:r w:rsidR="00EB0B26">
        <w:rPr>
          <w:b/>
          <w:color w:val="000000" w:themeColor="text1"/>
        </w:rPr>
        <w:t>S</w:t>
      </w:r>
      <w:r w:rsidRPr="00ED172B">
        <w:rPr>
          <w:b/>
          <w:color w:val="000000" w:themeColor="text1"/>
        </w:rPr>
        <w:t xml:space="preserve">ection 618 of the IDEA. </w:t>
      </w:r>
    </w:p>
    <w:p w14:paraId="4DEB85CE" w14:textId="14D6670E" w:rsidR="00631022" w:rsidRDefault="00631022">
      <w:pPr>
        <w:rPr>
          <w:color w:val="000000" w:themeColor="text1"/>
        </w:rPr>
      </w:pPr>
      <w:r w:rsidRPr="00ED172B">
        <w:rPr>
          <w:color w:val="000000" w:themeColor="text1"/>
        </w:rPr>
        <w:t>NO</w:t>
      </w: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shd w:val="clear" w:color="auto" w:fill="auto"/>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shd w:val="clear" w:color="auto" w:fill="auto"/>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shd w:val="clear" w:color="auto" w:fill="auto"/>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shd w:val="clear" w:color="auto" w:fill="auto"/>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shd w:val="clear" w:color="auto" w:fill="auto"/>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 xml:space="preserve">SY 2022-23 EMAPS IDEA Part </w:t>
            </w:r>
            <w:proofErr w:type="gramStart"/>
            <w:r w:rsidRPr="00ED172B">
              <w:rPr>
                <w:rFonts w:cs="Arial"/>
                <w:color w:val="000000" w:themeColor="text1"/>
                <w:szCs w:val="16"/>
              </w:rPr>
              <w:t>C  Dispute</w:t>
            </w:r>
            <w:proofErr w:type="gramEnd"/>
            <w:r w:rsidRPr="00ED172B">
              <w:rPr>
                <w:rFonts w:cs="Arial"/>
                <w:color w:val="000000" w:themeColor="text1"/>
                <w:szCs w:val="16"/>
              </w:rPr>
              <w:t xml:space="preserve"> Resolution Survey; Section B: Mediation Requests</w:t>
            </w:r>
          </w:p>
        </w:tc>
        <w:tc>
          <w:tcPr>
            <w:tcW w:w="1565" w:type="pct"/>
            <w:shd w:val="clear" w:color="auto" w:fill="auto"/>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14:paraId="7C060BC8" w14:textId="1D89C439" w:rsidR="00781A26" w:rsidRPr="00ED172B" w:rsidRDefault="00027F39" w:rsidP="00ED172B">
            <w:pPr>
              <w:jc w:val="center"/>
              <w:rPr>
                <w:color w:val="000000" w:themeColor="text1"/>
              </w:rPr>
            </w:pPr>
            <w:r w:rsidRPr="00ED172B">
              <w:rPr>
                <w:color w:val="000000" w:themeColor="text1"/>
              </w:rPr>
              <w:t>0</w:t>
            </w:r>
          </w:p>
        </w:tc>
      </w:tr>
      <w:tr w:rsidR="00ED172B" w:rsidRPr="00ED172B" w14:paraId="2A1CAAF1" w14:textId="77777777" w:rsidTr="00986B99">
        <w:trPr>
          <w:trHeight w:val="380"/>
        </w:trPr>
        <w:tc>
          <w:tcPr>
            <w:tcW w:w="1519" w:type="pct"/>
            <w:shd w:val="clear" w:color="auto" w:fill="auto"/>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 xml:space="preserve">SY 2022-23 EMAPS IDEA Part </w:t>
            </w:r>
            <w:proofErr w:type="gramStart"/>
            <w:r w:rsidRPr="00ED172B">
              <w:rPr>
                <w:rFonts w:cs="Arial"/>
                <w:color w:val="000000" w:themeColor="text1"/>
                <w:szCs w:val="16"/>
              </w:rPr>
              <w:t>C  Dispute</w:t>
            </w:r>
            <w:proofErr w:type="gramEnd"/>
            <w:r w:rsidRPr="00ED172B">
              <w:rPr>
                <w:rFonts w:cs="Arial"/>
                <w:color w:val="000000" w:themeColor="text1"/>
                <w:szCs w:val="16"/>
              </w:rPr>
              <w:t xml:space="preserve"> Resolution Survey; Section B: Mediation Requests</w:t>
            </w:r>
          </w:p>
        </w:tc>
        <w:tc>
          <w:tcPr>
            <w:tcW w:w="1565" w:type="pct"/>
            <w:shd w:val="clear" w:color="auto" w:fill="auto"/>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14:paraId="71FDA12A" w14:textId="40679280" w:rsidR="00781A26" w:rsidRPr="00ED172B" w:rsidRDefault="00027F39" w:rsidP="00ED172B">
            <w:pPr>
              <w:jc w:val="center"/>
              <w:rPr>
                <w:color w:val="000000" w:themeColor="text1"/>
              </w:rPr>
            </w:pPr>
            <w:r w:rsidRPr="00ED172B">
              <w:rPr>
                <w:color w:val="000000" w:themeColor="text1"/>
              </w:rPr>
              <w:t>0</w:t>
            </w:r>
          </w:p>
        </w:tc>
      </w:tr>
      <w:tr w:rsidR="00ED172B" w:rsidRPr="00ED172B" w14:paraId="4CAA107A" w14:textId="77777777" w:rsidTr="00986B99">
        <w:trPr>
          <w:trHeight w:val="380"/>
        </w:trPr>
        <w:tc>
          <w:tcPr>
            <w:tcW w:w="1519" w:type="pct"/>
            <w:shd w:val="clear" w:color="auto" w:fill="auto"/>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 xml:space="preserve">SY 2022-23 EMAPS IDEA Part </w:t>
            </w:r>
            <w:proofErr w:type="gramStart"/>
            <w:r w:rsidRPr="00ED172B">
              <w:rPr>
                <w:rFonts w:cs="Arial"/>
                <w:color w:val="000000" w:themeColor="text1"/>
                <w:szCs w:val="16"/>
              </w:rPr>
              <w:t>C  Dispute</w:t>
            </w:r>
            <w:proofErr w:type="gramEnd"/>
            <w:r w:rsidRPr="00ED172B">
              <w:rPr>
                <w:rFonts w:cs="Arial"/>
                <w:color w:val="000000" w:themeColor="text1"/>
                <w:szCs w:val="16"/>
              </w:rPr>
              <w:t xml:space="preserve"> Resolution Survey; Section B: Mediation Requests</w:t>
            </w:r>
          </w:p>
        </w:tc>
        <w:tc>
          <w:tcPr>
            <w:tcW w:w="1565" w:type="pct"/>
            <w:shd w:val="clear" w:color="auto" w:fill="auto"/>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14:paraId="3FFC49DA" w14:textId="2AACC070"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29B47A7E" w14:textId="7900ED41" w:rsidR="00E44DFC" w:rsidRDefault="00CF03E0" w:rsidP="00ED172B">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w:t>
      </w:r>
      <w:r w:rsidRPr="00ED172B">
        <w:rPr>
          <w:color w:val="000000" w:themeColor="text1"/>
        </w:rPr>
        <w:lastRenderedPageBreak/>
        <w:t xml:space="preserve">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68E60F77" w14:textId="50BC5DCB" w:rsidR="00287B52" w:rsidRPr="00ED172B" w:rsidRDefault="00287B52" w:rsidP="00287B52">
      <w:pPr>
        <w:pStyle w:val="Bold"/>
        <w:rPr>
          <w:b w:val="0"/>
          <w:color w:val="000000" w:themeColor="text1"/>
        </w:rPr>
      </w:pP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799A45A9" w14:textId="77777777" w:rsidTr="00A40EE1">
        <w:trPr>
          <w:trHeight w:val="350"/>
          <w:tblHeader/>
        </w:trPr>
        <w:tc>
          <w:tcPr>
            <w:tcW w:w="4389" w:type="pct"/>
            <w:tcBorders>
              <w:bottom w:val="single" w:sz="4" w:space="0" w:color="auto"/>
            </w:tcBorders>
            <w:shd w:val="clear" w:color="auto" w:fill="auto"/>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shd w:val="clear" w:color="auto" w:fill="auto"/>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shd w:val="clear" w:color="auto" w:fill="auto"/>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shd w:val="clear" w:color="auto" w:fill="auto"/>
            <w:vAlign w:val="center"/>
          </w:tcPr>
          <w:p w14:paraId="03A9855E" w14:textId="5D4201BC" w:rsidR="000378F3" w:rsidRPr="00ED172B" w:rsidRDefault="000378F3" w:rsidP="000378F3">
            <w:pPr>
              <w:jc w:val="center"/>
              <w:rPr>
                <w:color w:val="000000" w:themeColor="text1"/>
              </w:rPr>
            </w:pPr>
            <w:r w:rsidRPr="00ED172B">
              <w:rPr>
                <w:color w:val="000000" w:themeColor="text1"/>
              </w:rPr>
              <w:t>0.00%</w:t>
            </w: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shd w:val="clear" w:color="auto" w:fill="auto"/>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2021</w:t>
            </w:r>
          </w:p>
        </w:tc>
      </w:tr>
      <w:tr w:rsidR="00ED172B" w:rsidRPr="00ED172B" w14:paraId="47A8721B" w14:textId="77777777" w:rsidTr="00986B99">
        <w:trPr>
          <w:trHeight w:val="357"/>
        </w:trPr>
        <w:tc>
          <w:tcPr>
            <w:tcW w:w="623" w:type="pct"/>
            <w:shd w:val="clear" w:color="auto" w:fill="auto"/>
          </w:tcPr>
          <w:p w14:paraId="721E2942" w14:textId="5670436E"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0A21AF8F" w14:textId="5612EC32" w:rsidR="00965010" w:rsidRPr="00ED172B" w:rsidRDefault="00965010" w:rsidP="00186420">
            <w:pPr>
              <w:jc w:val="center"/>
              <w:rPr>
                <w:rFonts w:cs="Arial"/>
                <w:color w:val="000000" w:themeColor="text1"/>
                <w:szCs w:val="16"/>
              </w:rPr>
            </w:pPr>
          </w:p>
        </w:tc>
        <w:tc>
          <w:tcPr>
            <w:tcW w:w="875" w:type="pct"/>
            <w:shd w:val="clear" w:color="auto" w:fill="auto"/>
          </w:tcPr>
          <w:p w14:paraId="4958A7B0" w14:textId="75FC1EB5" w:rsidR="00965010" w:rsidRPr="00ED172B" w:rsidRDefault="004374D6" w:rsidP="00186420">
            <w:pPr>
              <w:jc w:val="center"/>
              <w:rPr>
                <w:rFonts w:cs="Arial"/>
                <w:color w:val="000000" w:themeColor="text1"/>
                <w:szCs w:val="16"/>
              </w:rPr>
            </w:pPr>
            <w:r w:rsidRPr="00ED172B">
              <w:rPr>
                <w:rFonts w:cs="Arial"/>
                <w:color w:val="000000" w:themeColor="text1"/>
                <w:szCs w:val="16"/>
              </w:rPr>
              <w:t>0.00%</w:t>
            </w:r>
          </w:p>
        </w:tc>
        <w:tc>
          <w:tcPr>
            <w:tcW w:w="875" w:type="pct"/>
            <w:shd w:val="clear" w:color="auto" w:fill="auto"/>
            <w:vAlign w:val="center"/>
          </w:tcPr>
          <w:p w14:paraId="6925E141" w14:textId="6C4655F4" w:rsidR="00965010" w:rsidRPr="00ED172B" w:rsidRDefault="004374D6" w:rsidP="00186420">
            <w:pPr>
              <w:jc w:val="center"/>
              <w:rPr>
                <w:rFonts w:cs="Arial"/>
                <w:color w:val="000000" w:themeColor="text1"/>
                <w:szCs w:val="16"/>
              </w:rPr>
            </w:pPr>
            <w:r w:rsidRPr="00ED172B">
              <w:rPr>
                <w:rFonts w:cs="Arial"/>
                <w:color w:val="000000" w:themeColor="text1"/>
                <w:szCs w:val="16"/>
              </w:rPr>
              <w:t>.00%</w:t>
            </w:r>
          </w:p>
        </w:tc>
        <w:tc>
          <w:tcPr>
            <w:tcW w:w="875" w:type="pct"/>
            <w:shd w:val="clear" w:color="auto" w:fill="auto"/>
            <w:vAlign w:val="center"/>
          </w:tcPr>
          <w:p w14:paraId="6D3F5E0A" w14:textId="302FDA6B"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3307A743" w14:textId="0DA1032C" w:rsidR="00965010" w:rsidRPr="00ED172B" w:rsidRDefault="00965010" w:rsidP="00186420">
            <w:pPr>
              <w:jc w:val="center"/>
              <w:rPr>
                <w:rFonts w:cs="Arial"/>
                <w:color w:val="000000" w:themeColor="text1"/>
                <w:szCs w:val="16"/>
              </w:rPr>
            </w:pPr>
          </w:p>
        </w:tc>
      </w:tr>
      <w:tr w:rsidR="00ED172B" w:rsidRPr="00ED172B" w14:paraId="70310803" w14:textId="77777777" w:rsidTr="00986B99">
        <w:trPr>
          <w:trHeight w:val="85"/>
        </w:trPr>
        <w:tc>
          <w:tcPr>
            <w:tcW w:w="623" w:type="pct"/>
            <w:shd w:val="clear" w:color="auto" w:fill="auto"/>
          </w:tcPr>
          <w:p w14:paraId="242E5B90"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217B706A" w14:textId="7317F284" w:rsidR="00965010" w:rsidRPr="00ED172B" w:rsidRDefault="00965010" w:rsidP="00186420">
            <w:pPr>
              <w:jc w:val="center"/>
              <w:rPr>
                <w:rFonts w:cs="Arial"/>
                <w:color w:val="000000" w:themeColor="text1"/>
                <w:szCs w:val="16"/>
              </w:rPr>
            </w:pPr>
          </w:p>
        </w:tc>
        <w:tc>
          <w:tcPr>
            <w:tcW w:w="875" w:type="pct"/>
            <w:shd w:val="clear" w:color="auto" w:fill="auto"/>
          </w:tcPr>
          <w:p w14:paraId="179468D4" w14:textId="6AEF13A0"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33864A15" w14:textId="13EED87A"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41D4E2E4" w14:textId="36C47BB5"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F1127D0" w14:textId="3B0BE864" w:rsidR="00965010" w:rsidRPr="00ED172B" w:rsidRDefault="00965010" w:rsidP="00186420">
            <w:pPr>
              <w:jc w:val="center"/>
              <w:rPr>
                <w:rFonts w:cs="Arial"/>
                <w:color w:val="000000" w:themeColor="text1"/>
                <w:szCs w:val="16"/>
              </w:rPr>
            </w:pP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4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1869"/>
        <w:gridCol w:w="2004"/>
        <w:gridCol w:w="2004"/>
        <w:gridCol w:w="2003"/>
      </w:tblGrid>
      <w:tr w:rsidR="00C843AF" w:rsidRPr="00ED172B" w14:paraId="3367B66C" w14:textId="18B525E5" w:rsidTr="00E415ED">
        <w:trPr>
          <w:trHeight w:val="360"/>
        </w:trPr>
        <w:tc>
          <w:tcPr>
            <w:tcW w:w="402" w:type="pct"/>
            <w:tcBorders>
              <w:bottom w:val="single" w:sz="4" w:space="0" w:color="auto"/>
            </w:tcBorders>
            <w:shd w:val="clear" w:color="auto" w:fill="auto"/>
          </w:tcPr>
          <w:p w14:paraId="3C2EA831" w14:textId="77777777" w:rsidR="00C843AF" w:rsidRPr="00ED172B" w:rsidRDefault="00C843AF" w:rsidP="00C375EA">
            <w:pPr>
              <w:jc w:val="center"/>
              <w:rPr>
                <w:b/>
                <w:color w:val="000000" w:themeColor="text1"/>
              </w:rPr>
            </w:pPr>
            <w:r w:rsidRPr="00ED172B">
              <w:rPr>
                <w:b/>
                <w:color w:val="000000" w:themeColor="text1"/>
              </w:rPr>
              <w:t>FFY</w:t>
            </w:r>
          </w:p>
        </w:tc>
        <w:tc>
          <w:tcPr>
            <w:tcW w:w="1092" w:type="pct"/>
            <w:shd w:val="clear" w:color="auto" w:fill="auto"/>
            <w:vAlign w:val="center"/>
          </w:tcPr>
          <w:p w14:paraId="64F739CA" w14:textId="43EC1A3D" w:rsidR="00C843AF" w:rsidRPr="00ED172B" w:rsidRDefault="00C843AF" w:rsidP="00C375EA">
            <w:pPr>
              <w:jc w:val="center"/>
              <w:rPr>
                <w:b/>
                <w:color w:val="000000" w:themeColor="text1"/>
              </w:rPr>
            </w:pPr>
            <w:r w:rsidRPr="00ED172B">
              <w:rPr>
                <w:b/>
                <w:color w:val="000000" w:themeColor="text1"/>
              </w:rPr>
              <w:t>2022</w:t>
            </w:r>
          </w:p>
        </w:tc>
        <w:tc>
          <w:tcPr>
            <w:tcW w:w="1169" w:type="pct"/>
          </w:tcPr>
          <w:p w14:paraId="787B7032" w14:textId="0281A2A2" w:rsidR="00C843AF" w:rsidRPr="00ED172B" w:rsidRDefault="00C843AF" w:rsidP="00C375EA">
            <w:pPr>
              <w:jc w:val="center"/>
              <w:rPr>
                <w:b/>
                <w:color w:val="000000" w:themeColor="text1"/>
              </w:rPr>
            </w:pPr>
            <w:r>
              <w:rPr>
                <w:rFonts w:cs="Arial"/>
                <w:b/>
                <w:color w:val="000000" w:themeColor="text1"/>
                <w:szCs w:val="16"/>
              </w:rPr>
              <w:t>2023</w:t>
            </w:r>
          </w:p>
        </w:tc>
        <w:tc>
          <w:tcPr>
            <w:tcW w:w="1169" w:type="pct"/>
          </w:tcPr>
          <w:p w14:paraId="328C1C3C" w14:textId="4248D53A" w:rsidR="00C843AF" w:rsidRPr="00ED172B" w:rsidRDefault="00C843AF" w:rsidP="00C375EA">
            <w:pPr>
              <w:jc w:val="center"/>
              <w:rPr>
                <w:b/>
                <w:color w:val="000000" w:themeColor="text1"/>
              </w:rPr>
            </w:pPr>
            <w:r w:rsidRPr="005A1B4F">
              <w:rPr>
                <w:rFonts w:cs="Arial"/>
                <w:b/>
                <w:color w:val="000000" w:themeColor="text1"/>
                <w:szCs w:val="16"/>
              </w:rPr>
              <w:t>2024</w:t>
            </w:r>
          </w:p>
        </w:tc>
        <w:tc>
          <w:tcPr>
            <w:tcW w:w="1169" w:type="pct"/>
          </w:tcPr>
          <w:p w14:paraId="4423FD31" w14:textId="7F28EAA2" w:rsidR="00C843AF" w:rsidRPr="00ED172B" w:rsidRDefault="00C843AF" w:rsidP="00C375EA">
            <w:pPr>
              <w:jc w:val="center"/>
              <w:rPr>
                <w:b/>
                <w:color w:val="000000" w:themeColor="text1"/>
              </w:rPr>
            </w:pPr>
            <w:r w:rsidRPr="005A1B4F">
              <w:rPr>
                <w:rFonts w:cs="Arial"/>
                <w:b/>
                <w:color w:val="000000" w:themeColor="text1"/>
                <w:szCs w:val="16"/>
              </w:rPr>
              <w:t>2025</w:t>
            </w:r>
          </w:p>
        </w:tc>
      </w:tr>
      <w:tr w:rsidR="00C843AF" w:rsidRPr="00ED172B" w14:paraId="0276B9DA" w14:textId="556EB458" w:rsidTr="00E415ED">
        <w:trPr>
          <w:trHeight w:val="367"/>
        </w:trPr>
        <w:tc>
          <w:tcPr>
            <w:tcW w:w="402" w:type="pct"/>
            <w:shd w:val="clear" w:color="auto" w:fill="auto"/>
          </w:tcPr>
          <w:p w14:paraId="2CCE1C49" w14:textId="473A3F03" w:rsidR="00C843AF" w:rsidRPr="00ED172B" w:rsidRDefault="00C843AF" w:rsidP="00D21F29">
            <w:pPr>
              <w:jc w:val="center"/>
              <w:rPr>
                <w:rFonts w:cs="Arial"/>
                <w:color w:val="000000" w:themeColor="text1"/>
                <w:szCs w:val="16"/>
              </w:rPr>
            </w:pPr>
            <w:r w:rsidRPr="00ED172B">
              <w:rPr>
                <w:rFonts w:cs="Arial"/>
                <w:color w:val="000000" w:themeColor="text1"/>
                <w:szCs w:val="16"/>
              </w:rPr>
              <w:t>Target&gt;=</w:t>
            </w:r>
          </w:p>
        </w:tc>
        <w:tc>
          <w:tcPr>
            <w:tcW w:w="1092" w:type="pct"/>
            <w:shd w:val="clear" w:color="auto" w:fill="auto"/>
            <w:vAlign w:val="center"/>
          </w:tcPr>
          <w:p w14:paraId="7A1FE832" w14:textId="7EA6C6B8" w:rsidR="00C843AF" w:rsidRPr="00ED172B" w:rsidRDefault="00C843AF" w:rsidP="00C375EA">
            <w:pPr>
              <w:jc w:val="center"/>
              <w:rPr>
                <w:color w:val="000000" w:themeColor="text1"/>
              </w:rPr>
            </w:pPr>
          </w:p>
        </w:tc>
        <w:tc>
          <w:tcPr>
            <w:tcW w:w="1169" w:type="pct"/>
          </w:tcPr>
          <w:p w14:paraId="1309820B" w14:textId="7FA1AFB9" w:rsidR="00C843AF" w:rsidRPr="00ED172B" w:rsidRDefault="00C843AF" w:rsidP="00C375EA">
            <w:pPr>
              <w:jc w:val="center"/>
              <w:rPr>
                <w:color w:val="000000" w:themeColor="text1"/>
              </w:rPr>
            </w:pPr>
          </w:p>
        </w:tc>
        <w:tc>
          <w:tcPr>
            <w:tcW w:w="1169" w:type="pct"/>
          </w:tcPr>
          <w:p w14:paraId="6ECE8CF3" w14:textId="055095F9" w:rsidR="00C843AF" w:rsidRPr="00ED172B" w:rsidRDefault="00C843AF" w:rsidP="00C375EA">
            <w:pPr>
              <w:jc w:val="center"/>
              <w:rPr>
                <w:color w:val="000000" w:themeColor="text1"/>
              </w:rPr>
            </w:pPr>
          </w:p>
        </w:tc>
        <w:tc>
          <w:tcPr>
            <w:tcW w:w="1169" w:type="pct"/>
          </w:tcPr>
          <w:p w14:paraId="050245E2" w14:textId="1B636362" w:rsidR="00C843AF" w:rsidRPr="00ED172B" w:rsidRDefault="00C843AF" w:rsidP="00C375EA">
            <w:pPr>
              <w:jc w:val="center"/>
              <w:rPr>
                <w:color w:val="000000" w:themeColor="text1"/>
              </w:rPr>
            </w:pPr>
          </w:p>
        </w:tc>
      </w:tr>
    </w:tbl>
    <w:p w14:paraId="1E64FA85" w14:textId="77777777" w:rsidR="0065724F" w:rsidRPr="00ED172B" w:rsidRDefault="0065724F">
      <w:pPr>
        <w:rPr>
          <w:b/>
          <w:color w:val="000000" w:themeColor="text1"/>
        </w:rPr>
      </w:pPr>
    </w:p>
    <w:p w14:paraId="2299CDE5" w14:textId="20E041D6" w:rsidR="00715B7C" w:rsidRPr="00ED172B" w:rsidRDefault="00F22D09">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59"/>
        <w:gridCol w:w="2133"/>
        <w:gridCol w:w="1419"/>
        <w:gridCol w:w="750"/>
        <w:gridCol w:w="885"/>
        <w:gridCol w:w="1019"/>
        <w:gridCol w:w="1282"/>
        <w:gridCol w:w="1243"/>
      </w:tblGrid>
      <w:tr w:rsidR="00ED172B" w:rsidRPr="00ED172B" w14:paraId="1FE1A8B6" w14:textId="77777777" w:rsidTr="00986B99">
        <w:trPr>
          <w:tblHeader/>
        </w:trPr>
        <w:tc>
          <w:tcPr>
            <w:tcW w:w="0" w:type="auto"/>
            <w:shd w:val="clear" w:color="auto" w:fill="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14:paraId="75756C39" w14:textId="564A6EBB" w:rsidR="003F7F2F" w:rsidRPr="00ED172B" w:rsidRDefault="00CD74B5" w:rsidP="00CD79C5">
            <w:pPr>
              <w:jc w:val="center"/>
              <w:rPr>
                <w:rFonts w:cs="Arial"/>
                <w:b/>
                <w:color w:val="000000" w:themeColor="text1"/>
                <w:szCs w:val="16"/>
              </w:rPr>
            </w:pPr>
            <w:r>
              <w:rPr>
                <w:rFonts w:cs="Arial"/>
                <w:b/>
                <w:color w:val="000000" w:themeColor="text1"/>
                <w:szCs w:val="16"/>
              </w:rPr>
              <w:t>FFY 2021 Data</w:t>
            </w:r>
          </w:p>
        </w:tc>
        <w:tc>
          <w:tcPr>
            <w:tcW w:w="0" w:type="auto"/>
            <w:shd w:val="clear" w:color="auto" w:fill="auto"/>
            <w:vAlign w:val="bottom"/>
          </w:tcPr>
          <w:p w14:paraId="34C5B321" w14:textId="0086DA6C" w:rsidR="003F7F2F" w:rsidRPr="00ED172B" w:rsidRDefault="00F22D09" w:rsidP="00CD79C5">
            <w:pPr>
              <w:jc w:val="center"/>
              <w:rPr>
                <w:rFonts w:cs="Arial"/>
                <w:b/>
                <w:color w:val="000000" w:themeColor="text1"/>
                <w:szCs w:val="16"/>
              </w:rPr>
            </w:pPr>
            <w:r>
              <w:rPr>
                <w:rFonts w:cs="Arial"/>
                <w:b/>
                <w:color w:val="000000" w:themeColor="text1"/>
                <w:szCs w:val="16"/>
              </w:rPr>
              <w:t>FFY 2022 Target</w:t>
            </w:r>
          </w:p>
        </w:tc>
        <w:tc>
          <w:tcPr>
            <w:tcW w:w="472" w:type="pct"/>
            <w:shd w:val="clear" w:color="auto" w:fill="auto"/>
            <w:vAlign w:val="bottom"/>
          </w:tcPr>
          <w:p w14:paraId="1F75CC89" w14:textId="50761695" w:rsidR="003F7F2F" w:rsidRPr="00ED172B" w:rsidRDefault="00F22D09" w:rsidP="00CD79C5">
            <w:pPr>
              <w:jc w:val="center"/>
              <w:rPr>
                <w:rFonts w:cs="Arial"/>
                <w:b/>
                <w:color w:val="000000" w:themeColor="text1"/>
                <w:szCs w:val="16"/>
              </w:rPr>
            </w:pPr>
            <w:r>
              <w:rPr>
                <w:rFonts w:cs="Arial"/>
                <w:b/>
                <w:color w:val="000000" w:themeColor="text1"/>
                <w:szCs w:val="16"/>
              </w:rPr>
              <w:t>FFY 2022 Data</w:t>
            </w:r>
          </w:p>
        </w:tc>
        <w:tc>
          <w:tcPr>
            <w:tcW w:w="594" w:type="pct"/>
            <w:shd w:val="clear" w:color="auto" w:fill="auto"/>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shd w:val="clear" w:color="auto" w:fill="auto"/>
          </w:tcPr>
          <w:p w14:paraId="2F120EC8" w14:textId="2CFA9571"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62CDDF21" w14:textId="577CFA88"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vAlign w:val="center"/>
          </w:tcPr>
          <w:p w14:paraId="0EF5D1FA" w14:textId="62B0C3A2"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07852742" w14:textId="74D08B36" w:rsidR="003F7F2F" w:rsidRPr="00ED172B" w:rsidRDefault="003F7F2F" w:rsidP="00320806">
            <w:pPr>
              <w:jc w:val="center"/>
              <w:rPr>
                <w:color w:val="000000" w:themeColor="text1"/>
              </w:rPr>
            </w:pPr>
          </w:p>
        </w:tc>
        <w:tc>
          <w:tcPr>
            <w:tcW w:w="0" w:type="auto"/>
            <w:shd w:val="clear" w:color="auto" w:fill="auto"/>
          </w:tcPr>
          <w:p w14:paraId="1A3FD4BD" w14:textId="73FB264C" w:rsidR="003F7F2F" w:rsidRPr="00ED172B" w:rsidRDefault="003F7F2F" w:rsidP="00320806">
            <w:pPr>
              <w:jc w:val="center"/>
              <w:rPr>
                <w:color w:val="000000" w:themeColor="text1"/>
              </w:rPr>
            </w:pPr>
          </w:p>
        </w:tc>
        <w:tc>
          <w:tcPr>
            <w:tcW w:w="472" w:type="pct"/>
            <w:shd w:val="clear" w:color="auto" w:fill="auto"/>
          </w:tcPr>
          <w:p w14:paraId="1DD10E42" w14:textId="62FF3817" w:rsidR="003F7F2F" w:rsidRPr="00ED172B" w:rsidRDefault="003F7F2F" w:rsidP="00320806">
            <w:pPr>
              <w:jc w:val="center"/>
              <w:rPr>
                <w:color w:val="000000" w:themeColor="text1"/>
              </w:rPr>
            </w:pPr>
          </w:p>
        </w:tc>
        <w:tc>
          <w:tcPr>
            <w:tcW w:w="594" w:type="pct"/>
            <w:shd w:val="clear" w:color="auto" w:fill="auto"/>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shd w:val="clear" w:color="auto" w:fill="auto"/>
          </w:tcPr>
          <w:p w14:paraId="03AF1958" w14:textId="597B8C94" w:rsidR="003F7F2F" w:rsidRPr="00ED172B" w:rsidRDefault="00320806" w:rsidP="00320806">
            <w:pPr>
              <w:jc w:val="center"/>
              <w:rPr>
                <w:color w:val="000000" w:themeColor="text1"/>
              </w:rPr>
            </w:pPr>
            <w:r w:rsidRPr="00ED172B">
              <w:rPr>
                <w:color w:val="000000" w:themeColor="text1"/>
              </w:rPr>
              <w:t>N/A</w:t>
            </w:r>
          </w:p>
        </w:tc>
      </w:tr>
    </w:tbl>
    <w:bookmarkEnd w:id="58"/>
    <w:bookmarkEnd w:id="59"/>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860830" w:rsidP="00EA0143">
      <w:pPr>
        <w:rPr>
          <w:rFonts w:cs="Arial"/>
          <w:color w:val="000000" w:themeColor="text1"/>
          <w:szCs w:val="16"/>
        </w:rPr>
      </w:pPr>
      <w:r w:rsidRPr="00ED172B">
        <w:rPr>
          <w:rFonts w:cs="Arial"/>
          <w:color w:val="000000" w:themeColor="text1"/>
          <w:szCs w:val="16"/>
        </w:rPr>
        <w:t>The State reported fewer than ten mediations held in FFY 2022. The State is not required to provide targets until any fiscal year in which ten or more mediations were held. The IDEA Part C Office does report de-identified complaint information to both the Interagency Coordinating Council and to the Nevada Early Intervention Services system programs during monthly technical assistance calls as standing agenda items.</w:t>
      </w:r>
    </w:p>
    <w:p w14:paraId="51685558" w14:textId="51A1E7FE" w:rsidR="00DC0682" w:rsidRPr="00A40EE1" w:rsidRDefault="000D0117" w:rsidP="007B0787">
      <w:pPr>
        <w:pStyle w:val="Heading2"/>
      </w:pPr>
      <w:bookmarkStart w:id="60" w:name="_Hlk79570511"/>
      <w:r w:rsidRPr="00A40EE1">
        <w:t xml:space="preserve">10 - </w:t>
      </w:r>
      <w:r w:rsidR="00DC0682" w:rsidRPr="00A40EE1">
        <w:t>Prior FFY Required Actions</w:t>
      </w:r>
      <w:bookmarkEnd w:id="60"/>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The State reported fewer than ten mediations held in FFY 2022. The State is not required to provide targets until any fiscal year in which ten or more mediations were held.</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DC0682" w:rsidP="00320806">
      <w:pPr>
        <w:rPr>
          <w:color w:val="000000" w:themeColor="text1"/>
        </w:rPr>
      </w:pP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1" w:name="_Hlk109646734"/>
      <w:bookmarkStart w:id="62" w:name="_Toc392159348"/>
      <w:r w:rsidRPr="00ED172B">
        <w:rPr>
          <w:color w:val="000000" w:themeColor="text1"/>
        </w:rPr>
        <w:lastRenderedPageBreak/>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77777777" w:rsidR="009E3024" w:rsidRDefault="009E3024" w:rsidP="009E3024">
      <w:r>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29ABA6B1" w14:textId="48D3CB72"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39268BD3" w14:textId="18973069"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16CEE7FC" w14:textId="48E03533"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proofErr w:type="gramStart"/>
      <w:r w:rsidRPr="00D77E41">
        <w:t>)</w:t>
      </w:r>
      <w:proofErr w:type="gramEnd"/>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 xml:space="preserve">Data </w:t>
      </w:r>
      <w:proofErr w:type="gramStart"/>
      <w:r w:rsidR="009E3024" w:rsidRPr="00D77E41">
        <w:t>Analysis;</w:t>
      </w:r>
      <w:proofErr w:type="gramEnd"/>
    </w:p>
    <w:p w14:paraId="2AF202E6" w14:textId="7A737778" w:rsidR="009E3024" w:rsidRPr="00D77E41" w:rsidRDefault="00FB141D" w:rsidP="00F85A5B">
      <w:pPr>
        <w:ind w:left="360"/>
      </w:pPr>
      <w:r>
        <w:t xml:space="preserve">- </w:t>
      </w:r>
      <w:r w:rsidR="009E3024" w:rsidRPr="00D77E41">
        <w:t xml:space="preserve">Analysis of State Infrastructure to Support Improvement and Build </w:t>
      </w:r>
      <w:proofErr w:type="gramStart"/>
      <w:r w:rsidR="009E3024" w:rsidRPr="00D77E41">
        <w:t>Capacity;</w:t>
      </w:r>
      <w:proofErr w:type="gramEnd"/>
    </w:p>
    <w:p w14:paraId="2165FD76" w14:textId="397475D4" w:rsidR="009E3024" w:rsidRPr="00D77E41" w:rsidRDefault="00FB141D" w:rsidP="00F85A5B">
      <w:pPr>
        <w:ind w:left="360"/>
      </w:pPr>
      <w:r>
        <w:t xml:space="preserve">- </w:t>
      </w:r>
      <w:r w:rsidR="009E3024" w:rsidRPr="00D77E41">
        <w:t xml:space="preserve">State-identified Measurable Result(s) for Infants and Toddlers with Disabilities and their </w:t>
      </w:r>
      <w:proofErr w:type="gramStart"/>
      <w:r w:rsidR="009E3024" w:rsidRPr="00D77E41">
        <w:t>Families;</w:t>
      </w:r>
      <w:proofErr w:type="gramEnd"/>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 xml:space="preserve">Infrastructure </w:t>
      </w:r>
      <w:proofErr w:type="gramStart"/>
      <w:r w:rsidR="009E3024" w:rsidRPr="00D77E41">
        <w:t>Development;</w:t>
      </w:r>
      <w:proofErr w:type="gramEnd"/>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w:t>
      </w:r>
      <w:proofErr w:type="spellStart"/>
      <w:r w:rsidRPr="00D77E41">
        <w:t>SiMR</w:t>
      </w:r>
      <w:proofErr w:type="spellEnd"/>
      <w:r w:rsidRPr="00D77E41">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0C06481A"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w:t>
      </w:r>
      <w:proofErr w:type="spellStart"/>
      <w:r w:rsidRPr="00D77E41">
        <w:t>SiMR</w:t>
      </w:r>
      <w:proofErr w:type="spellEnd"/>
      <w:r w:rsidRPr="00D77E41">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D77E41">
        <w:t>SiMR</w:t>
      </w:r>
      <w:proofErr w:type="spellEnd"/>
      <w:r w:rsidRPr="00D77E41">
        <w:t xml:space="preserve">. States using a subset of the population from the indicator (e.g., a sample, cohort model) should describe how data are collected and analyzed for the </w:t>
      </w:r>
      <w:proofErr w:type="spellStart"/>
      <w:r w:rsidRPr="00D77E41">
        <w:t>SiMR</w:t>
      </w:r>
      <w:proofErr w:type="spellEnd"/>
      <w:r w:rsidRPr="00D77E41">
        <w:t xml:space="preserve">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5C65CC8D"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t>1</w:t>
      </w:r>
      <w:r w:rsidRPr="00D77E41">
        <w:t xml:space="preserve">, </w:t>
      </w:r>
      <w:r w:rsidR="00555AD9">
        <w:t>2023</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76FEA6F3"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D77E41">
        <w:t>SiMR</w:t>
      </w:r>
      <w:proofErr w:type="spellEnd"/>
      <w:r w:rsidRPr="00D77E41">
        <w:t xml:space="preserve">;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w:t>
      </w:r>
      <w:r w:rsidR="00B5224F">
        <w:t>2</w:t>
      </w:r>
      <w:r w:rsidR="00BC6E1E" w:rsidRPr="00D77E41">
        <w:t xml:space="preserve"> </w:t>
      </w:r>
      <w:r w:rsidRPr="00D77E41">
        <w:t xml:space="preserve">APR, report on anticipated outcomes to be obtained during FFY </w:t>
      </w:r>
      <w:r w:rsidR="00BC6E1E">
        <w:t>202</w:t>
      </w:r>
      <w:r w:rsidR="00B5224F">
        <w:t>3</w:t>
      </w:r>
      <w:r w:rsidRPr="00D77E41">
        <w:t xml:space="preserve">, i.e., July 1, </w:t>
      </w:r>
      <w:r>
        <w:t>202</w:t>
      </w:r>
      <w:r w:rsidR="00B5224F">
        <w:t>3</w:t>
      </w:r>
      <w:r w:rsidRPr="00D77E41">
        <w:t xml:space="preserve">-June 30, </w:t>
      </w:r>
      <w:r>
        <w:t>202</w:t>
      </w:r>
      <w:r w:rsidR="00B5224F">
        <w:t>4</w:t>
      </w:r>
      <w:r w:rsidRPr="00D77E41">
        <w:t>).</w:t>
      </w:r>
    </w:p>
    <w:p w14:paraId="391F34BE" w14:textId="089C8C20"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D77E41">
        <w:t>SiMR</w:t>
      </w:r>
      <w:proofErr w:type="spellEnd"/>
      <w:r w:rsidRPr="00D77E41">
        <w:t xml:space="preserve"> by changing program/district policies, procedures, and/or practices, teacher/provider practices </w:t>
      </w:r>
      <w:bookmarkStart w:id="63"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w:t>
      </w:r>
      <w:r w:rsidRPr="00D77E41">
        <w:lastRenderedPageBreak/>
        <w:t>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3"/>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7D2FEB51" w:rsidR="009E3024" w:rsidRDefault="009E3024" w:rsidP="009E3024">
      <w:r w:rsidRPr="00D77E41">
        <w:t xml:space="preserve">The State should identify any activities not already described that it intends to implement in the next fiscal year (e.g., for the </w:t>
      </w:r>
      <w:r>
        <w:t xml:space="preserve">FFY </w:t>
      </w:r>
      <w:r w:rsidR="00B7212B">
        <w:t>202</w:t>
      </w:r>
      <w:r w:rsidR="00B5224F">
        <w:t>2</w:t>
      </w:r>
      <w:r w:rsidR="00B7212B" w:rsidRPr="00D77E41">
        <w:t xml:space="preserve"> </w:t>
      </w:r>
      <w:r w:rsidRPr="00D77E41">
        <w:t xml:space="preserve">APR, report on activities it intends to implement in FFY </w:t>
      </w:r>
      <w:r w:rsidR="00B7212B">
        <w:t>202</w:t>
      </w:r>
      <w:r w:rsidR="00B5224F">
        <w:t>3</w:t>
      </w:r>
      <w:r w:rsidRPr="00D77E41">
        <w:t xml:space="preserve">, i.e., July 1, </w:t>
      </w:r>
      <w:r>
        <w:t>202</w:t>
      </w:r>
      <w:r w:rsidR="00B5224F">
        <w:t>3</w:t>
      </w:r>
      <w:r w:rsidRPr="00D77E41">
        <w:t xml:space="preserve">-June 30, </w:t>
      </w:r>
      <w:r>
        <w:t>202</w:t>
      </w:r>
      <w:r w:rsidR="00B5224F">
        <w:t>4</w:t>
      </w:r>
      <w:r w:rsidRPr="00D77E41">
        <w:t xml:space="preserve">) including a timeline, anticipated data collection and measures, and expected outcomes that are related to the </w:t>
      </w:r>
      <w:proofErr w:type="spellStart"/>
      <w:r w:rsidRPr="00D77E41">
        <w:t>SiMR</w:t>
      </w:r>
      <w:proofErr w:type="spellEnd"/>
      <w:r w:rsidRPr="00D77E41">
        <w:t>. The State should describe any newly identified barriers and include steps to address these barriers.</w:t>
      </w:r>
    </w:p>
    <w:bookmarkEnd w:id="61"/>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w:t>
      </w:r>
      <w:proofErr w:type="spellStart"/>
      <w:r w:rsidRPr="00F85A5B">
        <w:rPr>
          <w:b/>
          <w:bCs/>
        </w:rPr>
        <w:t>SiMR</w:t>
      </w:r>
      <w:proofErr w:type="spellEnd"/>
      <w:r w:rsidRPr="00F85A5B">
        <w:rPr>
          <w:b/>
          <w:bCs/>
        </w:rPr>
        <w:t>)?</w:t>
      </w:r>
    </w:p>
    <w:p w14:paraId="5EF17788" w14:textId="2FA358EC" w:rsidR="008517CB" w:rsidRPr="00F85A5B" w:rsidRDefault="008517CB" w:rsidP="00741E58">
      <w:pPr>
        <w:rPr>
          <w:color w:val="000000" w:themeColor="text1"/>
        </w:rPr>
      </w:pPr>
      <w:r w:rsidRPr="00ED172B">
        <w:rPr>
          <w:color w:val="000000" w:themeColor="text1"/>
        </w:rPr>
        <w:t>Infants and toddlers exiting early intervention services will demonstrate a significant increased rate of growth in positive social-emotional skills (including social relationships).</w:t>
      </w:r>
    </w:p>
    <w:p w14:paraId="3035665E" w14:textId="2B992CBD" w:rsidR="008517CB" w:rsidRDefault="008517CB" w:rsidP="008517CB">
      <w:pPr>
        <w:rPr>
          <w:b/>
          <w:bCs/>
        </w:rPr>
      </w:pPr>
      <w:r w:rsidRPr="008517CB">
        <w:rPr>
          <w:b/>
          <w:bCs/>
        </w:rPr>
        <w:t xml:space="preserve">Has the </w:t>
      </w:r>
      <w:proofErr w:type="spellStart"/>
      <w:r w:rsidRPr="008517CB">
        <w:rPr>
          <w:b/>
          <w:bCs/>
        </w:rPr>
        <w:t>SiMR</w:t>
      </w:r>
      <w:proofErr w:type="spellEnd"/>
      <w:r w:rsidRPr="008517CB">
        <w:rPr>
          <w:b/>
          <w:bCs/>
        </w:rPr>
        <w:t xml:space="preserve"> changed since the last SSIP submission? (yes/no)</w:t>
      </w:r>
    </w:p>
    <w:p w14:paraId="1894103D" w14:textId="08DFDF04" w:rsidR="001C46CD" w:rsidRPr="000123EB" w:rsidRDefault="001C46CD" w:rsidP="008517CB">
      <w:r w:rsidRPr="000123EB">
        <w:t>NO</w:t>
      </w:r>
    </w:p>
    <w:p w14:paraId="6EC47F33" w14:textId="77777777" w:rsidR="00E46F5E" w:rsidRDefault="00E46F5E" w:rsidP="008517CB">
      <w:pPr>
        <w:rPr>
          <w:b/>
          <w:bCs/>
        </w:rPr>
      </w:pPr>
    </w:p>
    <w:p w14:paraId="160C27D7" w14:textId="03F97943" w:rsidR="008517CB" w:rsidRDefault="008517CB" w:rsidP="008517CB">
      <w:pPr>
        <w:rPr>
          <w:b/>
          <w:bCs/>
        </w:rPr>
      </w:pPr>
      <w:bookmarkStart w:id="64"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4"/>
    <w:p w14:paraId="2DFF9C44" w14:textId="3D7DE653" w:rsidR="00E46F5E" w:rsidRPr="000123EB" w:rsidRDefault="00E46F5E" w:rsidP="008517CB">
      <w:pPr>
        <w:rPr>
          <w:color w:val="000000" w:themeColor="text1"/>
        </w:rPr>
      </w:pPr>
      <w:r w:rsidRPr="000123EB">
        <w:rPr>
          <w:color w:val="000000" w:themeColor="text1"/>
        </w:rPr>
        <w:t>YES</w:t>
      </w:r>
    </w:p>
    <w:p w14:paraId="398776B2" w14:textId="55295BAF" w:rsidR="008517CB" w:rsidRDefault="00B073DB" w:rsidP="008517CB">
      <w:pPr>
        <w:rPr>
          <w:b/>
          <w:bCs/>
        </w:rPr>
      </w:pPr>
      <w:bookmarkStart w:id="65" w:name="_Hlk109646824"/>
      <w:r>
        <w:rPr>
          <w:b/>
          <w:bCs/>
        </w:rPr>
        <w:t>Provide a description of the subset of the population from the indicator.</w:t>
      </w:r>
    </w:p>
    <w:bookmarkEnd w:id="65"/>
    <w:p w14:paraId="20C5EC3E" w14:textId="17767E51" w:rsidR="00E46F5E" w:rsidRPr="005137B6" w:rsidRDefault="00E46F5E" w:rsidP="00E46F5E">
      <w:pPr>
        <w:rPr>
          <w:color w:val="000000" w:themeColor="text1"/>
        </w:rPr>
      </w:pPr>
      <w:r w:rsidRPr="00ED172B">
        <w:rPr>
          <w:color w:val="000000" w:themeColor="text1"/>
        </w:rPr>
        <w:t>Indicator 3 data are used regarding infants and toddlers who have received at least 6 months of early intervention services in terms of child outcomes at entry and exit, along with data from online professional development, Family Survey and Pyramid Model project cohort programs.</w:t>
      </w:r>
    </w:p>
    <w:p w14:paraId="750D781D" w14:textId="77777777" w:rsidR="00E46F5E" w:rsidRPr="008517CB" w:rsidRDefault="00E46F5E" w:rsidP="008517CB">
      <w:pPr>
        <w:rPr>
          <w:b/>
          <w:bCs/>
        </w:rPr>
      </w:pPr>
    </w:p>
    <w:p w14:paraId="67311EEB" w14:textId="5E251F48" w:rsidR="00A5616C" w:rsidRDefault="00A5616C" w:rsidP="00A5616C">
      <w:pPr>
        <w:rPr>
          <w:b/>
          <w:bCs/>
        </w:rPr>
      </w:pPr>
      <w:bookmarkStart w:id="66" w:name="_Hlk109646832"/>
      <w:r w:rsidRPr="00A5616C">
        <w:rPr>
          <w:b/>
          <w:bCs/>
        </w:rPr>
        <w:t>Is the State’s theory of action new or revised since the previous submission? (yes/no)</w:t>
      </w:r>
    </w:p>
    <w:bookmarkEnd w:id="66"/>
    <w:p w14:paraId="66909F1C" w14:textId="33FCF0A9" w:rsidR="00A5616C" w:rsidRPr="000123EB" w:rsidRDefault="00A5616C" w:rsidP="00A5616C">
      <w:r w:rsidRPr="000123EB">
        <w:t>NO</w:t>
      </w:r>
    </w:p>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https://dhhs.nv.gov/uploadedFiles/dhhsnvgov/content/Programs/IDEA/Theory%20of%20Action_SSIP_1.5.22.pdf</w:t>
      </w:r>
    </w:p>
    <w:p w14:paraId="7076EF11" w14:textId="77777777" w:rsidR="006A3544" w:rsidRDefault="006A3544" w:rsidP="008517CB">
      <w:pPr>
        <w:rPr>
          <w:b/>
          <w:bCs/>
        </w:rPr>
      </w:pPr>
    </w:p>
    <w:p w14:paraId="106F39B4" w14:textId="77777777" w:rsidR="00A3455E" w:rsidRDefault="00A3455E" w:rsidP="00A3455E">
      <w:pPr>
        <w:pStyle w:val="Subhed"/>
      </w:pPr>
      <w:bookmarkStart w:id="67" w:name="_Hlk109646858"/>
      <w:r w:rsidRPr="000315F0">
        <w:t xml:space="preserve">Progress toward the </w:t>
      </w:r>
      <w:proofErr w:type="spellStart"/>
      <w:r w:rsidRPr="000315F0">
        <w:t>SiMR</w:t>
      </w:r>
      <w:proofErr w:type="spellEnd"/>
    </w:p>
    <w:p w14:paraId="16056B16" w14:textId="399C7865"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3645021F" w14:textId="058BAA46" w:rsidR="00A3455E" w:rsidRDefault="00A3455E" w:rsidP="00741E58">
      <w:pPr>
        <w:rPr>
          <w:b/>
          <w:bCs/>
        </w:rPr>
      </w:pPr>
      <w:r w:rsidRPr="00A3455E">
        <w:rPr>
          <w:b/>
          <w:bCs/>
        </w:rPr>
        <w:t>Select yes if the State uses two targets for measurement. (yes/no)</w:t>
      </w:r>
    </w:p>
    <w:bookmarkEnd w:id="67"/>
    <w:p w14:paraId="1D770D42" w14:textId="74DA622B" w:rsidR="00C00467" w:rsidRPr="000123EB" w:rsidRDefault="00935B33" w:rsidP="00741E58">
      <w:r w:rsidRPr="000123EB">
        <w:t>NO</w:t>
      </w:r>
    </w:p>
    <w:p w14:paraId="0023F992" w14:textId="77777777" w:rsidR="00C83574" w:rsidRDefault="00C83574" w:rsidP="00C83574">
      <w:pPr>
        <w:rPr>
          <w:rFonts w:cs="Arial"/>
          <w:b/>
          <w:color w:val="000000" w:themeColor="text1"/>
          <w:szCs w:val="16"/>
        </w:rPr>
      </w:pPr>
      <w:r w:rsidRPr="00ED172B">
        <w:rPr>
          <w:rFonts w:cs="Arial"/>
          <w:b/>
          <w:color w:val="000000" w:themeColor="text1"/>
          <w:szCs w:val="16"/>
        </w:rPr>
        <w:t>Historical Data</w:t>
      </w:r>
    </w:p>
    <w:p w14:paraId="7F2A0158" w14:textId="77777777" w:rsidR="00C83574" w:rsidRDefault="00C83574" w:rsidP="00C83574">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1788"/>
        <w:gridCol w:w="1898"/>
      </w:tblGrid>
      <w:tr w:rsidR="008C5AD3" w:rsidRPr="00ED172B" w14:paraId="0EFB88A4" w14:textId="77777777" w:rsidTr="00BE7F57">
        <w:trPr>
          <w:trHeight w:val="350"/>
          <w:tblHeader/>
        </w:trPr>
        <w:tc>
          <w:tcPr>
            <w:tcW w:w="2425" w:type="pct"/>
            <w:tcBorders>
              <w:bottom w:val="single" w:sz="4" w:space="0" w:color="auto"/>
            </w:tcBorders>
            <w:shd w:val="clear" w:color="auto" w:fill="auto"/>
            <w:vAlign w:val="center"/>
          </w:tcPr>
          <w:p w14:paraId="2D527EBC" w14:textId="77777777" w:rsidR="008C5AD3" w:rsidRPr="001071FD" w:rsidRDefault="008C5AD3" w:rsidP="0082735C">
            <w:pPr>
              <w:jc w:val="center"/>
              <w:rPr>
                <w:b/>
                <w:bCs/>
                <w:color w:val="000000" w:themeColor="text1"/>
              </w:rPr>
            </w:pPr>
            <w:r>
              <w:rPr>
                <w:b/>
                <w:bCs/>
                <w:color w:val="000000" w:themeColor="text1"/>
              </w:rPr>
              <w:t>Baseline Year</w:t>
            </w:r>
          </w:p>
        </w:tc>
        <w:tc>
          <w:tcPr>
            <w:tcW w:w="2575" w:type="pct"/>
            <w:shd w:val="clear" w:color="auto" w:fill="auto"/>
            <w:vAlign w:val="center"/>
          </w:tcPr>
          <w:p w14:paraId="50D4CE4F"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5A4971F9" w14:textId="77777777" w:rsidTr="00BE7F57">
        <w:trPr>
          <w:trHeight w:val="350"/>
        </w:trPr>
        <w:tc>
          <w:tcPr>
            <w:tcW w:w="2425" w:type="pct"/>
            <w:tcBorders>
              <w:bottom w:val="single" w:sz="4" w:space="0" w:color="auto"/>
            </w:tcBorders>
            <w:shd w:val="clear" w:color="auto" w:fill="auto"/>
          </w:tcPr>
          <w:p w14:paraId="62B5AA2F" w14:textId="66A1FAED" w:rsidR="008C5AD3" w:rsidRPr="00ED172B" w:rsidRDefault="008C5AD3" w:rsidP="0082735C">
            <w:pPr>
              <w:jc w:val="center"/>
              <w:rPr>
                <w:b/>
                <w:color w:val="000000" w:themeColor="text1"/>
              </w:rPr>
            </w:pPr>
            <w:r w:rsidRPr="00ED172B">
              <w:rPr>
                <w:color w:val="000000" w:themeColor="text1"/>
              </w:rPr>
              <w:t>2013</w:t>
            </w:r>
          </w:p>
        </w:tc>
        <w:tc>
          <w:tcPr>
            <w:tcW w:w="2575" w:type="pct"/>
            <w:shd w:val="clear" w:color="auto" w:fill="auto"/>
            <w:vAlign w:val="center"/>
          </w:tcPr>
          <w:p w14:paraId="6E4EA629" w14:textId="5D8BB69D" w:rsidR="008C5AD3" w:rsidRPr="00ED172B" w:rsidRDefault="008C5AD3" w:rsidP="0082735C">
            <w:pPr>
              <w:jc w:val="center"/>
              <w:rPr>
                <w:color w:val="000000" w:themeColor="text1"/>
              </w:rPr>
            </w:pPr>
            <w:r w:rsidRPr="00ED172B">
              <w:rPr>
                <w:color w:val="000000" w:themeColor="text1"/>
              </w:rPr>
              <w:t>65.25%</w:t>
            </w:r>
          </w:p>
        </w:tc>
      </w:tr>
    </w:tbl>
    <w:p w14:paraId="42E70098" w14:textId="77777777" w:rsidR="00C83574" w:rsidRDefault="00C83574" w:rsidP="00E7729E">
      <w:pPr>
        <w:rPr>
          <w:b/>
          <w:color w:val="000000" w:themeColor="text1"/>
        </w:rPr>
      </w:pPr>
    </w:p>
    <w:p w14:paraId="65CF2969" w14:textId="77777777" w:rsidR="00C83574" w:rsidRDefault="00C83574" w:rsidP="00E7729E">
      <w:pPr>
        <w:rPr>
          <w:b/>
          <w:color w:val="000000" w:themeColor="text1"/>
        </w:rPr>
      </w:pPr>
    </w:p>
    <w:p w14:paraId="4233C402" w14:textId="77777777" w:rsidR="00C00467" w:rsidRDefault="00C00467" w:rsidP="00E7729E">
      <w:pPr>
        <w:rPr>
          <w:b/>
          <w:color w:val="000000" w:themeColor="text1"/>
        </w:rPr>
      </w:pPr>
    </w:p>
    <w:p w14:paraId="68448D17" w14:textId="77777777" w:rsidR="00C00467" w:rsidRDefault="00C00467" w:rsidP="00E7729E">
      <w:pPr>
        <w:rPr>
          <w:b/>
          <w:color w:val="000000" w:themeColor="text1"/>
        </w:rPr>
      </w:pPr>
    </w:p>
    <w:p w14:paraId="59B3B9CC" w14:textId="77777777" w:rsidR="00C00467" w:rsidRDefault="00C00467" w:rsidP="00E7729E">
      <w:pPr>
        <w:rPr>
          <w:b/>
          <w:color w:val="000000" w:themeColor="text1"/>
        </w:rPr>
      </w:pPr>
    </w:p>
    <w:p w14:paraId="1FB4EA3C" w14:textId="77777777" w:rsidR="00C00467" w:rsidRDefault="00C00467" w:rsidP="00E7729E">
      <w:pPr>
        <w:rPr>
          <w:b/>
          <w:color w:val="000000" w:themeColor="text1"/>
        </w:rPr>
      </w:pPr>
    </w:p>
    <w:p w14:paraId="6F57E88A" w14:textId="7FC386E1" w:rsidR="00E7729E" w:rsidRPr="00ED172B" w:rsidRDefault="00E7729E" w:rsidP="00E7729E">
      <w:pPr>
        <w:rPr>
          <w:color w:val="000000" w:themeColor="text1"/>
        </w:rPr>
      </w:pPr>
      <w:r w:rsidRPr="00A10714">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679"/>
        <w:gridCol w:w="1177"/>
        <w:gridCol w:w="2080"/>
        <w:gridCol w:w="2286"/>
        <w:gridCol w:w="2286"/>
        <w:gridCol w:w="2282"/>
      </w:tblGrid>
      <w:tr w:rsidR="00C00467" w:rsidRPr="00ED172B" w14:paraId="0453CCC2" w14:textId="77777777" w:rsidTr="005032AF">
        <w:trPr>
          <w:trHeight w:val="360"/>
        </w:trPr>
        <w:tc>
          <w:tcPr>
            <w:tcW w:w="379" w:type="pct"/>
            <w:tcBorders>
              <w:bottom w:val="single" w:sz="4" w:space="0" w:color="auto"/>
            </w:tcBorders>
            <w:shd w:val="clear" w:color="auto" w:fill="auto"/>
          </w:tcPr>
          <w:p w14:paraId="1A80DB10" w14:textId="77777777" w:rsidR="00C00467" w:rsidRPr="00ED172B" w:rsidRDefault="00C00467" w:rsidP="0082735C">
            <w:pPr>
              <w:jc w:val="center"/>
              <w:rPr>
                <w:b/>
                <w:color w:val="000000" w:themeColor="text1"/>
              </w:rPr>
            </w:pPr>
            <w:r w:rsidRPr="00ED172B">
              <w:rPr>
                <w:b/>
                <w:color w:val="000000" w:themeColor="text1"/>
              </w:rPr>
              <w:t>FFY</w:t>
            </w:r>
          </w:p>
        </w:tc>
        <w:tc>
          <w:tcPr>
            <w:tcW w:w="127" w:type="pct"/>
          </w:tcPr>
          <w:p w14:paraId="44E988D2" w14:textId="7BD43327" w:rsidR="00C00467" w:rsidRPr="00ED172B" w:rsidRDefault="00C00467" w:rsidP="0082735C">
            <w:pPr>
              <w:jc w:val="center"/>
              <w:rPr>
                <w:b/>
                <w:color w:val="000000" w:themeColor="text1"/>
              </w:rPr>
            </w:pPr>
            <w:r w:rsidRPr="00B67020">
              <w:rPr>
                <w:b/>
                <w:color w:val="000000" w:themeColor="text1"/>
              </w:rPr>
              <w:t>Current Relationship</w:t>
            </w:r>
          </w:p>
        </w:tc>
        <w:tc>
          <w:tcPr>
            <w:tcW w:w="1067" w:type="pct"/>
            <w:shd w:val="clear" w:color="auto" w:fill="auto"/>
            <w:vAlign w:val="center"/>
          </w:tcPr>
          <w:p w14:paraId="5C60C210" w14:textId="397126C8" w:rsidR="00C00467" w:rsidRPr="00ED172B" w:rsidRDefault="00C00467" w:rsidP="0082735C">
            <w:pPr>
              <w:jc w:val="center"/>
              <w:rPr>
                <w:b/>
                <w:color w:val="000000" w:themeColor="text1"/>
              </w:rPr>
            </w:pPr>
            <w:r w:rsidRPr="00ED172B">
              <w:rPr>
                <w:b/>
                <w:color w:val="000000" w:themeColor="text1"/>
              </w:rPr>
              <w:t>2022</w:t>
            </w:r>
          </w:p>
        </w:tc>
        <w:tc>
          <w:tcPr>
            <w:tcW w:w="1143" w:type="pct"/>
          </w:tcPr>
          <w:p w14:paraId="0701C412" w14:textId="77777777" w:rsidR="00C00467" w:rsidRPr="00ED172B" w:rsidRDefault="00C00467" w:rsidP="0082735C">
            <w:pPr>
              <w:jc w:val="center"/>
              <w:rPr>
                <w:b/>
                <w:color w:val="000000" w:themeColor="text1"/>
              </w:rPr>
            </w:pPr>
            <w:r>
              <w:rPr>
                <w:rFonts w:cs="Arial"/>
                <w:b/>
                <w:color w:val="000000" w:themeColor="text1"/>
                <w:szCs w:val="16"/>
              </w:rPr>
              <w:t>2023</w:t>
            </w:r>
          </w:p>
        </w:tc>
        <w:tc>
          <w:tcPr>
            <w:tcW w:w="1143" w:type="pct"/>
          </w:tcPr>
          <w:p w14:paraId="69CB9B5C" w14:textId="77777777" w:rsidR="00C00467" w:rsidRPr="00ED172B" w:rsidRDefault="00C00467" w:rsidP="0082735C">
            <w:pPr>
              <w:jc w:val="center"/>
              <w:rPr>
                <w:b/>
                <w:color w:val="000000" w:themeColor="text1"/>
              </w:rPr>
            </w:pPr>
            <w:r w:rsidRPr="005A1B4F">
              <w:rPr>
                <w:rFonts w:cs="Arial"/>
                <w:b/>
                <w:color w:val="000000" w:themeColor="text1"/>
                <w:szCs w:val="16"/>
              </w:rPr>
              <w:t>2024</w:t>
            </w:r>
          </w:p>
        </w:tc>
        <w:tc>
          <w:tcPr>
            <w:tcW w:w="1143" w:type="pct"/>
          </w:tcPr>
          <w:p w14:paraId="43141ACC" w14:textId="77777777" w:rsidR="00C00467" w:rsidRPr="00ED172B" w:rsidRDefault="00C00467" w:rsidP="0082735C">
            <w:pPr>
              <w:jc w:val="center"/>
              <w:rPr>
                <w:b/>
                <w:color w:val="000000" w:themeColor="text1"/>
              </w:rPr>
            </w:pPr>
            <w:r w:rsidRPr="005A1B4F">
              <w:rPr>
                <w:rFonts w:cs="Arial"/>
                <w:b/>
                <w:color w:val="000000" w:themeColor="text1"/>
                <w:szCs w:val="16"/>
              </w:rPr>
              <w:t>2025</w:t>
            </w:r>
          </w:p>
        </w:tc>
      </w:tr>
      <w:tr w:rsidR="00C00467" w:rsidRPr="00ED172B" w14:paraId="02BF8447" w14:textId="77777777" w:rsidTr="005032AF">
        <w:trPr>
          <w:trHeight w:val="367"/>
        </w:trPr>
        <w:tc>
          <w:tcPr>
            <w:tcW w:w="379" w:type="pct"/>
            <w:shd w:val="clear" w:color="auto" w:fill="auto"/>
          </w:tcPr>
          <w:p w14:paraId="1DE2EEC4" w14:textId="0B1A6EEF" w:rsidR="00C00467" w:rsidRPr="00ED172B" w:rsidRDefault="00C00467" w:rsidP="00D21F29">
            <w:pPr>
              <w:jc w:val="center"/>
              <w:rPr>
                <w:rFonts w:cs="Arial"/>
                <w:color w:val="000000" w:themeColor="text1"/>
                <w:szCs w:val="16"/>
              </w:rPr>
            </w:pPr>
            <w:r w:rsidRPr="00ED172B">
              <w:rPr>
                <w:rFonts w:cs="Arial"/>
                <w:color w:val="000000" w:themeColor="text1"/>
                <w:szCs w:val="16"/>
              </w:rPr>
              <w:t>Target</w:t>
            </w:r>
          </w:p>
        </w:tc>
        <w:tc>
          <w:tcPr>
            <w:tcW w:w="127" w:type="pct"/>
          </w:tcPr>
          <w:p w14:paraId="09BF8550" w14:textId="1015C7F4" w:rsidR="00C00467" w:rsidRPr="00ED172B" w:rsidRDefault="00C00467" w:rsidP="0082735C">
            <w:pPr>
              <w:jc w:val="center"/>
              <w:rPr>
                <w:color w:val="000000" w:themeColor="text1"/>
              </w:rPr>
            </w:pPr>
            <w:r w:rsidRPr="00B67020">
              <w:rPr>
                <w:color w:val="000000" w:themeColor="text1"/>
              </w:rPr>
              <w:t>Data must be greater than or equal to the target</w:t>
            </w:r>
          </w:p>
        </w:tc>
        <w:tc>
          <w:tcPr>
            <w:tcW w:w="1067" w:type="pct"/>
            <w:shd w:val="clear" w:color="auto" w:fill="auto"/>
            <w:vAlign w:val="center"/>
          </w:tcPr>
          <w:p w14:paraId="25EEA933" w14:textId="4E32B110" w:rsidR="00C00467" w:rsidRPr="00ED172B" w:rsidRDefault="00C00467" w:rsidP="0082735C">
            <w:pPr>
              <w:jc w:val="center"/>
              <w:rPr>
                <w:color w:val="000000" w:themeColor="text1"/>
              </w:rPr>
            </w:pPr>
            <w:r w:rsidRPr="00ED172B">
              <w:rPr>
                <w:color w:val="000000" w:themeColor="text1"/>
              </w:rPr>
              <w:t>69.49%</w:t>
            </w:r>
          </w:p>
        </w:tc>
        <w:tc>
          <w:tcPr>
            <w:tcW w:w="1143" w:type="pct"/>
          </w:tcPr>
          <w:p w14:paraId="4FDDD4C1" w14:textId="5C51D581" w:rsidR="00C00467" w:rsidRPr="00ED172B" w:rsidRDefault="00C00467" w:rsidP="0082735C">
            <w:pPr>
              <w:jc w:val="center"/>
              <w:rPr>
                <w:color w:val="000000" w:themeColor="text1"/>
              </w:rPr>
            </w:pPr>
            <w:r>
              <w:rPr>
                <w:rFonts w:cs="Arial"/>
                <w:color w:val="000000" w:themeColor="text1"/>
                <w:szCs w:val="16"/>
              </w:rPr>
              <w:t>70.02%</w:t>
            </w:r>
          </w:p>
        </w:tc>
        <w:tc>
          <w:tcPr>
            <w:tcW w:w="1143" w:type="pct"/>
          </w:tcPr>
          <w:p w14:paraId="0C37D80B" w14:textId="12806C46" w:rsidR="00C00467" w:rsidRPr="00ED172B" w:rsidRDefault="00C00467" w:rsidP="0082735C">
            <w:pPr>
              <w:jc w:val="center"/>
              <w:rPr>
                <w:color w:val="000000" w:themeColor="text1"/>
              </w:rPr>
            </w:pPr>
            <w:r w:rsidRPr="005F5F3C">
              <w:rPr>
                <w:rFonts w:cs="Arial"/>
                <w:color w:val="000000" w:themeColor="text1"/>
                <w:szCs w:val="16"/>
              </w:rPr>
              <w:t>70.55%</w:t>
            </w:r>
          </w:p>
        </w:tc>
        <w:tc>
          <w:tcPr>
            <w:tcW w:w="1143" w:type="pct"/>
          </w:tcPr>
          <w:p w14:paraId="5567CF00" w14:textId="51ED482E" w:rsidR="00C00467" w:rsidRPr="00ED172B" w:rsidRDefault="00C00467" w:rsidP="0082735C">
            <w:pPr>
              <w:jc w:val="center"/>
              <w:rPr>
                <w:color w:val="000000" w:themeColor="text1"/>
              </w:rPr>
            </w:pPr>
            <w:r w:rsidRPr="005F5F3C">
              <w:rPr>
                <w:rFonts w:cs="Arial"/>
                <w:color w:val="000000" w:themeColor="text1"/>
                <w:szCs w:val="16"/>
              </w:rPr>
              <w:t>71.08%</w:t>
            </w:r>
          </w:p>
        </w:tc>
      </w:tr>
    </w:tbl>
    <w:p w14:paraId="7BA6F57E" w14:textId="77777777" w:rsidR="008C5AD3" w:rsidRPr="00ED172B" w:rsidRDefault="008C5AD3" w:rsidP="008C5AD3">
      <w:pPr>
        <w:pStyle w:val="Italic"/>
        <w:rPr>
          <w:rFonts w:cs="Arial"/>
          <w:i w:val="0"/>
          <w:color w:val="000000" w:themeColor="text1"/>
          <w:szCs w:val="16"/>
        </w:rPr>
      </w:pPr>
    </w:p>
    <w:p w14:paraId="3FAB99C9" w14:textId="101E90C8" w:rsidR="005A3EDC" w:rsidRPr="00ED172B" w:rsidRDefault="005A3EDC" w:rsidP="005A3EDC">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6E048B6B" w14:textId="77777777" w:rsidTr="009C4033">
        <w:trPr>
          <w:trHeight w:val="354"/>
        </w:trPr>
        <w:tc>
          <w:tcPr>
            <w:tcW w:w="1165" w:type="pct"/>
            <w:shd w:val="clear" w:color="auto" w:fill="auto"/>
            <w:vAlign w:val="bottom"/>
          </w:tcPr>
          <w:p w14:paraId="35377E80" w14:textId="2AF6D1B5" w:rsidR="005A3EDC" w:rsidRPr="00ED172B" w:rsidRDefault="005E3DB9" w:rsidP="0082735C">
            <w:pPr>
              <w:jc w:val="center"/>
              <w:rPr>
                <w:b/>
                <w:color w:val="000000" w:themeColor="text1"/>
                <w:szCs w:val="16"/>
              </w:rPr>
            </w:pPr>
            <w:r w:rsidRPr="00ED172B">
              <w:rPr>
                <w:color w:val="000000" w:themeColor="text1"/>
                <w:szCs w:val="16"/>
              </w:rPr>
              <w:t>3A1. (numerator) The number who substantially increased their rate of growth by the time they turned 3 years of age or exited the program</w:t>
            </w:r>
          </w:p>
        </w:tc>
        <w:tc>
          <w:tcPr>
            <w:tcW w:w="876" w:type="pct"/>
            <w:shd w:val="clear" w:color="auto" w:fill="auto"/>
            <w:vAlign w:val="bottom"/>
          </w:tcPr>
          <w:p w14:paraId="2CFCBD1B" w14:textId="129F1692" w:rsidR="005A3EDC" w:rsidRPr="00ED172B" w:rsidRDefault="005E3DB9" w:rsidP="0082735C">
            <w:pPr>
              <w:jc w:val="center"/>
              <w:rPr>
                <w:b/>
                <w:color w:val="000000" w:themeColor="text1"/>
                <w:szCs w:val="16"/>
              </w:rPr>
            </w:pPr>
            <w:r w:rsidRPr="00ED172B">
              <w:rPr>
                <w:color w:val="000000" w:themeColor="text1"/>
                <w:szCs w:val="16"/>
              </w:rPr>
              <w:t>3A1. (denominator) The number of those children who entered or exited the program below age expectations in Outcome A</w:t>
            </w:r>
          </w:p>
        </w:tc>
        <w:tc>
          <w:tcPr>
            <w:tcW w:w="667" w:type="pct"/>
            <w:shd w:val="clear" w:color="auto" w:fill="auto"/>
            <w:vAlign w:val="bottom"/>
          </w:tcPr>
          <w:p w14:paraId="76EF8F05" w14:textId="3082B632" w:rsidR="005A3EDC" w:rsidRPr="00ED172B" w:rsidRDefault="005A3EDC" w:rsidP="0082735C">
            <w:pPr>
              <w:jc w:val="center"/>
              <w:rPr>
                <w:b/>
                <w:color w:val="000000" w:themeColor="text1"/>
                <w:szCs w:val="16"/>
              </w:rPr>
            </w:pPr>
            <w:r>
              <w:rPr>
                <w:rFonts w:cs="Arial"/>
                <w:b/>
                <w:color w:val="000000" w:themeColor="text1"/>
                <w:szCs w:val="16"/>
              </w:rPr>
              <w:t>FFY 2021 Data</w:t>
            </w:r>
          </w:p>
        </w:tc>
        <w:tc>
          <w:tcPr>
            <w:tcW w:w="626" w:type="pct"/>
            <w:shd w:val="clear" w:color="auto" w:fill="auto"/>
            <w:vAlign w:val="bottom"/>
          </w:tcPr>
          <w:p w14:paraId="5F4EA754" w14:textId="21947555" w:rsidR="005A3EDC" w:rsidRPr="00ED172B" w:rsidRDefault="005A3EDC" w:rsidP="0082735C">
            <w:pPr>
              <w:jc w:val="center"/>
              <w:rPr>
                <w:b/>
                <w:color w:val="000000" w:themeColor="text1"/>
                <w:szCs w:val="16"/>
              </w:rPr>
            </w:pPr>
            <w:r>
              <w:rPr>
                <w:rFonts w:cs="Arial"/>
                <w:b/>
                <w:color w:val="000000" w:themeColor="text1"/>
                <w:szCs w:val="16"/>
              </w:rPr>
              <w:t>FFY 2022 Target</w:t>
            </w:r>
          </w:p>
        </w:tc>
        <w:tc>
          <w:tcPr>
            <w:tcW w:w="584" w:type="pct"/>
            <w:shd w:val="clear" w:color="auto" w:fill="auto"/>
            <w:vAlign w:val="bottom"/>
          </w:tcPr>
          <w:p w14:paraId="67762CBC" w14:textId="5765F733" w:rsidR="005A3EDC" w:rsidRPr="00ED172B" w:rsidRDefault="005A3EDC" w:rsidP="0082735C">
            <w:pPr>
              <w:jc w:val="center"/>
              <w:rPr>
                <w:b/>
                <w:color w:val="000000" w:themeColor="text1"/>
                <w:szCs w:val="16"/>
              </w:rPr>
            </w:pPr>
            <w:r>
              <w:rPr>
                <w:rFonts w:cs="Arial"/>
                <w:b/>
                <w:color w:val="000000" w:themeColor="text1"/>
                <w:szCs w:val="16"/>
              </w:rPr>
              <w:t>FFY 2022 Data</w:t>
            </w:r>
          </w:p>
        </w:tc>
        <w:tc>
          <w:tcPr>
            <w:tcW w:w="584" w:type="pct"/>
            <w:shd w:val="clear" w:color="auto" w:fill="auto"/>
            <w:vAlign w:val="bottom"/>
          </w:tcPr>
          <w:p w14:paraId="3B9F25BA"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63772CF4"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6DBCB096" w14:textId="77777777" w:rsidTr="009C4033">
        <w:trPr>
          <w:trHeight w:val="287"/>
        </w:trPr>
        <w:tc>
          <w:tcPr>
            <w:tcW w:w="1165" w:type="pct"/>
            <w:shd w:val="clear" w:color="auto" w:fill="auto"/>
            <w:vAlign w:val="center"/>
          </w:tcPr>
          <w:p w14:paraId="3F656E99" w14:textId="27CC2589" w:rsidR="005A3EDC" w:rsidRPr="00ED172B" w:rsidRDefault="005A3EDC" w:rsidP="0082735C">
            <w:pPr>
              <w:jc w:val="center"/>
              <w:rPr>
                <w:color w:val="000000" w:themeColor="text1"/>
                <w:szCs w:val="16"/>
              </w:rPr>
            </w:pPr>
            <w:r w:rsidRPr="00ED172B">
              <w:rPr>
                <w:color w:val="000000" w:themeColor="text1"/>
                <w:szCs w:val="16"/>
              </w:rPr>
              <w:t>1,340</w:t>
            </w:r>
          </w:p>
        </w:tc>
        <w:tc>
          <w:tcPr>
            <w:tcW w:w="876" w:type="pct"/>
            <w:shd w:val="clear" w:color="auto" w:fill="auto"/>
            <w:vAlign w:val="center"/>
          </w:tcPr>
          <w:p w14:paraId="3150BE9F" w14:textId="5DC8C558" w:rsidR="005A3EDC" w:rsidRPr="00ED172B" w:rsidRDefault="005A3EDC" w:rsidP="0082735C">
            <w:pPr>
              <w:jc w:val="center"/>
              <w:rPr>
                <w:color w:val="000000" w:themeColor="text1"/>
                <w:szCs w:val="16"/>
              </w:rPr>
            </w:pPr>
            <w:r w:rsidRPr="00ED172B">
              <w:rPr>
                <w:color w:val="000000" w:themeColor="text1"/>
                <w:szCs w:val="16"/>
              </w:rPr>
              <w:t>1,683</w:t>
            </w:r>
          </w:p>
        </w:tc>
        <w:tc>
          <w:tcPr>
            <w:tcW w:w="667" w:type="pct"/>
            <w:shd w:val="clear" w:color="auto" w:fill="auto"/>
          </w:tcPr>
          <w:p w14:paraId="01ADA7D7" w14:textId="7A44C784" w:rsidR="005A3EDC" w:rsidRPr="00ED172B" w:rsidRDefault="005A3EDC" w:rsidP="0082735C">
            <w:pPr>
              <w:jc w:val="center"/>
              <w:rPr>
                <w:color w:val="000000" w:themeColor="text1"/>
                <w:szCs w:val="16"/>
              </w:rPr>
            </w:pPr>
            <w:r w:rsidRPr="00ED172B">
              <w:rPr>
                <w:rFonts w:cs="Arial"/>
                <w:color w:val="000000" w:themeColor="text1"/>
                <w:szCs w:val="16"/>
              </w:rPr>
              <w:t>75.00%</w:t>
            </w:r>
          </w:p>
        </w:tc>
        <w:tc>
          <w:tcPr>
            <w:tcW w:w="626" w:type="pct"/>
            <w:shd w:val="clear" w:color="auto" w:fill="auto"/>
          </w:tcPr>
          <w:p w14:paraId="7E0CA0EB" w14:textId="2BC1966F" w:rsidR="005A3EDC" w:rsidRPr="00ED172B" w:rsidRDefault="005A3EDC" w:rsidP="0082735C">
            <w:pPr>
              <w:jc w:val="center"/>
              <w:rPr>
                <w:color w:val="000000" w:themeColor="text1"/>
                <w:szCs w:val="16"/>
              </w:rPr>
            </w:pPr>
            <w:r w:rsidRPr="00ED172B">
              <w:rPr>
                <w:color w:val="000000" w:themeColor="text1"/>
                <w:szCs w:val="16"/>
              </w:rPr>
              <w:t>69.49%</w:t>
            </w:r>
          </w:p>
        </w:tc>
        <w:tc>
          <w:tcPr>
            <w:tcW w:w="584" w:type="pct"/>
            <w:shd w:val="clear" w:color="auto" w:fill="auto"/>
          </w:tcPr>
          <w:p w14:paraId="458651F5" w14:textId="00EF1137" w:rsidR="005A3EDC" w:rsidRPr="00ED172B" w:rsidRDefault="005A3EDC" w:rsidP="0082735C">
            <w:pPr>
              <w:jc w:val="center"/>
              <w:rPr>
                <w:color w:val="000000" w:themeColor="text1"/>
                <w:szCs w:val="16"/>
              </w:rPr>
            </w:pPr>
            <w:r w:rsidRPr="00ED172B">
              <w:rPr>
                <w:rFonts w:cs="Arial"/>
                <w:color w:val="000000" w:themeColor="text1"/>
                <w:szCs w:val="16"/>
              </w:rPr>
              <w:t>79.62%</w:t>
            </w:r>
          </w:p>
        </w:tc>
        <w:tc>
          <w:tcPr>
            <w:tcW w:w="584" w:type="pct"/>
            <w:shd w:val="clear" w:color="auto" w:fill="auto"/>
          </w:tcPr>
          <w:p w14:paraId="4D02F4DA" w14:textId="5ECE8E78" w:rsidR="005A3EDC" w:rsidRPr="00ED172B" w:rsidRDefault="005A3EDC" w:rsidP="0082735C">
            <w:pPr>
              <w:jc w:val="center"/>
              <w:rPr>
                <w:color w:val="000000" w:themeColor="text1"/>
              </w:rPr>
            </w:pPr>
            <w:r w:rsidRPr="00ED172B">
              <w:rPr>
                <w:color w:val="000000" w:themeColor="text1"/>
              </w:rPr>
              <w:t>Met target</w:t>
            </w:r>
          </w:p>
        </w:tc>
        <w:tc>
          <w:tcPr>
            <w:tcW w:w="498" w:type="pct"/>
            <w:shd w:val="clear" w:color="auto" w:fill="auto"/>
          </w:tcPr>
          <w:p w14:paraId="057828AA" w14:textId="1DB7167A" w:rsidR="005A3EDC" w:rsidRPr="00ED172B" w:rsidRDefault="005A3EDC" w:rsidP="0082735C">
            <w:pPr>
              <w:jc w:val="center"/>
              <w:rPr>
                <w:color w:val="000000" w:themeColor="text1"/>
              </w:rPr>
            </w:pPr>
            <w:r w:rsidRPr="00ED172B">
              <w:rPr>
                <w:color w:val="000000" w:themeColor="text1"/>
              </w:rPr>
              <w:t>No Slippage</w:t>
            </w:r>
          </w:p>
        </w:tc>
      </w:tr>
    </w:tbl>
    <w:p w14:paraId="4F07CE97" w14:textId="2F5F51F8" w:rsidR="00693B33" w:rsidRDefault="00693B33" w:rsidP="00741E58"/>
    <w:p w14:paraId="7FBF3D2A" w14:textId="484406D8" w:rsidR="00305E79" w:rsidRDefault="00305E79" w:rsidP="00C14BC7">
      <w:pPr>
        <w:rPr>
          <w:b/>
          <w:bCs/>
        </w:rPr>
      </w:pPr>
      <w:r>
        <w:rPr>
          <w:b/>
          <w:bCs/>
        </w:rPr>
        <w:t>Provide the data source for the FFY 2022 data.</w:t>
      </w:r>
    </w:p>
    <w:p w14:paraId="39EA1EF2" w14:textId="4442F412" w:rsidR="00305E79" w:rsidRDefault="00305E79" w:rsidP="00305E79">
      <w:pPr>
        <w:rPr>
          <w:color w:val="000000" w:themeColor="text1"/>
        </w:rPr>
      </w:pPr>
      <w:r w:rsidRPr="00ED172B">
        <w:rPr>
          <w:color w:val="000000" w:themeColor="text1"/>
        </w:rPr>
        <w:t xml:space="preserve">Child outcome summary (COS) has been used for Indicator 11 State Systemic Improvement Plan (SSIP) annually since </w:t>
      </w:r>
      <w:proofErr w:type="gramStart"/>
      <w:r w:rsidRPr="00ED172B">
        <w:rPr>
          <w:color w:val="000000" w:themeColor="text1"/>
        </w:rPr>
        <w:t>2013, and</w:t>
      </w:r>
      <w:proofErr w:type="gramEnd"/>
      <w:r w:rsidRPr="00ED172B">
        <w:rPr>
          <w:color w:val="000000" w:themeColor="text1"/>
        </w:rPr>
        <w:t xml:space="preserve"> continues to be used for FFY 2022 reporting. The COS data pertain to infants and toddlers at entry and exit for those children who have received at least 6 months of early intervention services.</w:t>
      </w:r>
      <w:r w:rsidRPr="00ED172B">
        <w:rPr>
          <w:color w:val="000000" w:themeColor="text1"/>
        </w:rPr>
        <w:br/>
      </w:r>
      <w:r w:rsidRPr="00ED172B">
        <w:rPr>
          <w:color w:val="000000" w:themeColor="text1"/>
        </w:rPr>
        <w:br/>
        <w:t>Results from Indicator 3. Child Outcomes are specific to Indicator 3 A1. include 79.62%; Met target; No slippage.</w:t>
      </w:r>
    </w:p>
    <w:p w14:paraId="58E947E6" w14:textId="35C272EA" w:rsidR="00C14BC7" w:rsidRPr="00C14BC7" w:rsidRDefault="00C14BC7" w:rsidP="00C14BC7">
      <w:r w:rsidRPr="00F85A5B">
        <w:rPr>
          <w:b/>
          <w:bCs/>
        </w:rPr>
        <w:t xml:space="preserve">Please describe how data are collected and analyzed for the </w:t>
      </w:r>
      <w:proofErr w:type="spellStart"/>
      <w:r w:rsidRPr="00F85A5B">
        <w:rPr>
          <w:b/>
          <w:bCs/>
        </w:rPr>
        <w:t>SiMR</w:t>
      </w:r>
      <w:proofErr w:type="spellEnd"/>
      <w:r w:rsidRPr="00C14BC7">
        <w:t>.</w:t>
      </w:r>
    </w:p>
    <w:p w14:paraId="6315B3BF" w14:textId="4A2D6D59" w:rsidR="00C14BC7" w:rsidRDefault="00C14BC7" w:rsidP="00C14BC7">
      <w:pPr>
        <w:rPr>
          <w:color w:val="000000" w:themeColor="text1"/>
        </w:rPr>
      </w:pPr>
      <w:r w:rsidRPr="00ED172B">
        <w:rPr>
          <w:color w:val="000000" w:themeColor="text1"/>
        </w:rPr>
        <w:t>COS from all children at entry and exit for children with at least 6 months of services. FFY 2021 data from Indicator 3A was 75.00%. The FFY 2022 Target is 69.49%. FFY 2022 data was 79.62%. FFY 2022 Target of 69.49% was met, with no slippage. The data collected for infants and toddlers who received six (6) months or longer of early intervention services for FFY 2022 were collected using the Child Outcome Summary Form (COSF) 7-point rating scale. The rating scale was developed by the Early Childhood Outcome (ECO) Center to support criteria for defining how NV’s infants and toddlers are compared to same-aged peers. NV also uses the decision tree to support practitioners in determining an appropriate child outcome rating for infants and toddlers. The criterion to determine “comparable to same-aged peers” is defined as a child who has been assigned a score of 6 or 7 on the COS (Child Outcome Summary).</w:t>
      </w:r>
      <w:r w:rsidRPr="00ED172B">
        <w:rPr>
          <w:color w:val="000000" w:themeColor="text1"/>
        </w:rPr>
        <w:br/>
      </w:r>
      <w:r w:rsidRPr="00ED172B">
        <w:rPr>
          <w:color w:val="000000" w:themeColor="text1"/>
        </w:rPr>
        <w:br/>
        <w:t>Social emotional/pyramid practices e-modules available to programs through a link from the Pyramid Model Consortium. Data on completion of the e-modules by EI professionals is provided by Pyramid Model Consortium to reflect practitioners' progress in knowledge on social emotional topics. Practitioners required to take these modules upon hire and may retake the modules for a refresher as needed.</w:t>
      </w:r>
      <w:r w:rsidRPr="00ED172B">
        <w:rPr>
          <w:color w:val="000000" w:themeColor="text1"/>
        </w:rPr>
        <w:br/>
      </w:r>
      <w:r w:rsidRPr="00ED172B">
        <w:rPr>
          <w:color w:val="000000" w:themeColor="text1"/>
        </w:rPr>
        <w:br/>
        <w:t>Family survey data shared for this indicator are obtained from families via mail in survey or emailed electronic survey. Data is compiled by IDEA Part C Office staff, with information categorized per EI program in terms of qualitative data that include individualized open responses for EI experiences. The data are analyzed in comparison to previous years of responses.</w:t>
      </w:r>
    </w:p>
    <w:p w14:paraId="76D8647E" w14:textId="78CCE65B" w:rsidR="00270F92" w:rsidRDefault="00270F92" w:rsidP="00741E58"/>
    <w:p w14:paraId="3CC869D1" w14:textId="77777777" w:rsidR="00177098" w:rsidRDefault="006D5F86" w:rsidP="006D5F86">
      <w:pPr>
        <w:rPr>
          <w:rFonts w:cs="Arial"/>
          <w:b/>
          <w:bCs/>
        </w:rPr>
      </w:pPr>
      <w:bookmarkStart w:id="68"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w:t>
      </w:r>
      <w:proofErr w:type="spellStart"/>
      <w:r w:rsidRPr="00F85A5B">
        <w:rPr>
          <w:rFonts w:cs="Arial"/>
          <w:b/>
          <w:bCs/>
        </w:rPr>
        <w:t>SiMR</w:t>
      </w:r>
      <w:proofErr w:type="spellEnd"/>
      <w:r w:rsidRPr="00F85A5B">
        <w:rPr>
          <w:rFonts w:cs="Arial"/>
          <w:b/>
          <w:bCs/>
        </w:rPr>
        <w:t>?</w:t>
      </w:r>
      <w:r w:rsidR="00CD071F">
        <w:rPr>
          <w:b/>
          <w:bCs/>
        </w:rPr>
        <w:t xml:space="preserve"> </w:t>
      </w:r>
      <w:r w:rsidR="00CD071F" w:rsidRPr="00CD071F">
        <w:rPr>
          <w:b/>
          <w:bCs/>
        </w:rPr>
        <w:t>(yes/no)</w:t>
      </w:r>
    </w:p>
    <w:bookmarkEnd w:id="68"/>
    <w:p w14:paraId="6A765DFA" w14:textId="1921A02D" w:rsidR="00831891" w:rsidRPr="000123EB" w:rsidRDefault="00831891" w:rsidP="00831891">
      <w:pPr>
        <w:rPr>
          <w:color w:val="000000" w:themeColor="text1"/>
        </w:rPr>
      </w:pPr>
      <w:r w:rsidRPr="00ED172B">
        <w:rPr>
          <w:color w:val="000000" w:themeColor="text1"/>
        </w:rPr>
        <w:t>YES</w:t>
      </w:r>
    </w:p>
    <w:p w14:paraId="67AE1CE1" w14:textId="4AACCFD3" w:rsidR="006D5F86" w:rsidRDefault="007F0DC5" w:rsidP="00741E58">
      <w:pPr>
        <w:rPr>
          <w:rFonts w:cs="Arial"/>
          <w:b/>
          <w:bCs/>
        </w:rPr>
      </w:pPr>
      <w:bookmarkStart w:id="69" w:name="_Hlk109646931"/>
      <w:r>
        <w:rPr>
          <w:rFonts w:cs="Arial"/>
          <w:b/>
          <w:bCs/>
        </w:rPr>
        <w:t xml:space="preserve">Describe any additional data collected by the State to assess progress toward the </w:t>
      </w:r>
      <w:proofErr w:type="spellStart"/>
      <w:r>
        <w:rPr>
          <w:rFonts w:cs="Arial"/>
          <w:b/>
          <w:bCs/>
        </w:rPr>
        <w:t>SiMR</w:t>
      </w:r>
      <w:proofErr w:type="spellEnd"/>
      <w:r>
        <w:rPr>
          <w:rFonts w:cs="Arial"/>
          <w:b/>
          <w:bCs/>
        </w:rPr>
        <w:t>.</w:t>
      </w:r>
    </w:p>
    <w:bookmarkEnd w:id="69"/>
    <w:p w14:paraId="20083E9E" w14:textId="002A0498" w:rsidR="006F322B" w:rsidRDefault="006F322B" w:rsidP="006F322B">
      <w:pPr>
        <w:rPr>
          <w:color w:val="000000" w:themeColor="text1"/>
        </w:rPr>
      </w:pPr>
      <w:r w:rsidRPr="00ED172B">
        <w:rPr>
          <w:color w:val="000000" w:themeColor="text1"/>
        </w:rPr>
        <w:t xml:space="preserve">IDEA Part C receives data on personnel who have successfully completed the pyramid practices e-modules through Pyramid Model Consortium, which are the e-modules that were paid for through OSEP ARPA funding. The data reflect the numbers of staff who have taken and passed the knowledge checks and quizzes within the e-modules. </w:t>
      </w:r>
    </w:p>
    <w:p w14:paraId="5AF54FE1" w14:textId="1D928FAB" w:rsidR="006F322B" w:rsidRDefault="006F322B" w:rsidP="00741E58">
      <w:pPr>
        <w:rPr>
          <w:b/>
          <w:bCs/>
        </w:rPr>
      </w:pPr>
    </w:p>
    <w:p w14:paraId="7345EC60" w14:textId="7CD24D28" w:rsidR="00C77A39" w:rsidRDefault="00C77A39" w:rsidP="00C77A39">
      <w:pPr>
        <w:spacing w:after="0"/>
        <w:rPr>
          <w:rFonts w:cs="Arial"/>
          <w:b/>
          <w:bCs/>
        </w:rPr>
      </w:pPr>
      <w:bookmarkStart w:id="70" w:name="_Hlk109646937"/>
      <w:r w:rsidRPr="00F85A5B">
        <w:rPr>
          <w:rFonts w:cs="Arial"/>
          <w:b/>
          <w:bCs/>
        </w:rPr>
        <w:t xml:space="preserve">Did the State identify any general data quality concerns, unrelated to COVID-19, that affected progress toward the </w:t>
      </w:r>
      <w:proofErr w:type="spellStart"/>
      <w:r w:rsidRPr="00F85A5B">
        <w:rPr>
          <w:rFonts w:cs="Arial"/>
          <w:b/>
          <w:bCs/>
        </w:rPr>
        <w:t>SiMR</w:t>
      </w:r>
      <w:proofErr w:type="spellEnd"/>
      <w:r w:rsidRPr="00F85A5B">
        <w:rPr>
          <w:rFonts w:cs="Arial"/>
          <w:b/>
          <w:bCs/>
        </w:rPr>
        <w:t xml:space="preserve"> during the reporting period? </w:t>
      </w:r>
      <w:r w:rsidR="00CD071F" w:rsidRPr="00CD071F">
        <w:rPr>
          <w:b/>
          <w:bCs/>
        </w:rPr>
        <w:t>(yes/no)</w:t>
      </w:r>
    </w:p>
    <w:bookmarkEnd w:id="70"/>
    <w:p w14:paraId="0DD31B03" w14:textId="7D01B3CB" w:rsidR="005838E8" w:rsidRDefault="005838E8" w:rsidP="00C77A39">
      <w:pPr>
        <w:spacing w:after="0"/>
        <w:rPr>
          <w:rFonts w:cs="Arial"/>
          <w:b/>
          <w:bCs/>
        </w:rPr>
      </w:pPr>
      <w:r w:rsidRPr="00ED172B">
        <w:rPr>
          <w:color w:val="000000" w:themeColor="text1"/>
        </w:rPr>
        <w:t>NO</w:t>
      </w:r>
    </w:p>
    <w:p w14:paraId="2806BED7" w14:textId="77777777" w:rsidR="005838E8" w:rsidRDefault="005838E8" w:rsidP="00741E58">
      <w:pPr>
        <w:rPr>
          <w:b/>
          <w:bCs/>
        </w:rPr>
      </w:pPr>
    </w:p>
    <w:p w14:paraId="2F92DA5E" w14:textId="040E23FA" w:rsidR="00FC7972" w:rsidRDefault="00FC7972" w:rsidP="00741E58">
      <w:pPr>
        <w:rPr>
          <w:b/>
          <w:bCs/>
        </w:rPr>
      </w:pPr>
      <w:bookmarkStart w:id="71" w:name="_Hlk109646952"/>
      <w:r w:rsidRPr="00FC7972">
        <w:rPr>
          <w:b/>
          <w:bCs/>
        </w:rPr>
        <w:t>Did the State identify any data quality concerns directly related to the COVID-19 pandemic during the reporting period? (yes/no)</w:t>
      </w:r>
    </w:p>
    <w:bookmarkEnd w:id="71"/>
    <w:p w14:paraId="315EE8A6" w14:textId="43B354C8" w:rsidR="005838E8" w:rsidRDefault="005838E8" w:rsidP="00741E58">
      <w:pPr>
        <w:rPr>
          <w:b/>
          <w:bCs/>
        </w:rPr>
      </w:pPr>
      <w:r w:rsidRPr="00ED172B">
        <w:rPr>
          <w:color w:val="000000" w:themeColor="text1"/>
        </w:rPr>
        <w:t>NO</w:t>
      </w:r>
    </w:p>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E8FFD0" w14:textId="77777777" w:rsidR="0041306A" w:rsidRDefault="0041306A" w:rsidP="0041306A">
      <w:pPr>
        <w:rPr>
          <w:rFonts w:cs="Arial"/>
          <w:b/>
          <w:bCs/>
        </w:rPr>
      </w:pPr>
      <w:r>
        <w:rPr>
          <w:rFonts w:cs="Arial"/>
          <w:b/>
          <w:bCs/>
        </w:rPr>
        <w:t>Please provide a link to the State’s current evaluation plan.</w:t>
      </w:r>
    </w:p>
    <w:p w14:paraId="2EAA92E6" w14:textId="1D331164" w:rsidR="0041306A" w:rsidRDefault="0041306A" w:rsidP="0041306A">
      <w:pPr>
        <w:rPr>
          <w:color w:val="000000" w:themeColor="text1"/>
        </w:rPr>
      </w:pPr>
      <w:r>
        <w:rPr>
          <w:color w:val="000000" w:themeColor="text1"/>
        </w:rPr>
        <w:t>https://dhhs.nv.gov/Programs/IDEA/Publications/</w:t>
      </w:r>
      <w:r>
        <w:rPr>
          <w:color w:val="000000" w:themeColor="text1"/>
        </w:rPr>
        <w:br/>
        <w:t>Please see State Systems Improvement Plan January 2024.</w:t>
      </w:r>
    </w:p>
    <w:p w14:paraId="60D24E34"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7F0F1A1F" w14:textId="4B2EF83A" w:rsidR="0041306A" w:rsidRDefault="0041306A" w:rsidP="0041306A">
      <w:pPr>
        <w:rPr>
          <w:color w:val="000000" w:themeColor="text1"/>
        </w:rPr>
      </w:pPr>
      <w:r>
        <w:rPr>
          <w:color w:val="000000" w:themeColor="text1"/>
        </w:rPr>
        <w:t>YES</w:t>
      </w:r>
    </w:p>
    <w:p w14:paraId="5D77C8F6" w14:textId="77777777" w:rsidR="0041306A" w:rsidRDefault="0041306A" w:rsidP="0041306A">
      <w:pPr>
        <w:rPr>
          <w:rFonts w:cs="Arial"/>
          <w:b/>
          <w:bCs/>
        </w:rPr>
      </w:pPr>
      <w:r>
        <w:rPr>
          <w:rFonts w:cs="Arial"/>
          <w:b/>
          <w:bCs/>
        </w:rPr>
        <w:t>If yes, provide a description of the changes and updates to the evaluation plan.</w:t>
      </w:r>
    </w:p>
    <w:p w14:paraId="57655E15" w14:textId="64BAA0B5" w:rsidR="0041306A" w:rsidRDefault="0041306A" w:rsidP="0041306A">
      <w:pPr>
        <w:rPr>
          <w:color w:val="000000" w:themeColor="text1"/>
        </w:rPr>
      </w:pPr>
      <w:r>
        <w:rPr>
          <w:color w:val="000000" w:themeColor="text1"/>
        </w:rPr>
        <w:t xml:space="preserve">Updates to the State System Improvement Plan (SSIP) include that updates were made to the Benchmarks of Quality during State Leadership Team (SLT) meetings during 2023 regarding continued scale up.  However, efforts during the FFY 22 reporting period have slowed due to the lack of practitioner coaches </w:t>
      </w:r>
      <w:proofErr w:type="gramStart"/>
      <w:r>
        <w:rPr>
          <w:color w:val="000000" w:themeColor="text1"/>
        </w:rPr>
        <w:t>as a result of</w:t>
      </w:r>
      <w:proofErr w:type="gramEnd"/>
      <w:r>
        <w:rPr>
          <w:color w:val="000000" w:themeColor="text1"/>
        </w:rPr>
        <w:t xml:space="preserve"> turnover and critical personnel shortage. The need to address retention to bolster the EI workforce was prioritized during FFY 22 </w:t>
      </w:r>
      <w:proofErr w:type="gramStart"/>
      <w:r>
        <w:rPr>
          <w:color w:val="000000" w:themeColor="text1"/>
        </w:rPr>
        <w:t>in order to</w:t>
      </w:r>
      <w:proofErr w:type="gramEnd"/>
      <w:r>
        <w:rPr>
          <w:color w:val="000000" w:themeColor="text1"/>
        </w:rPr>
        <w:t xml:space="preserve"> promote continuity of services for families with an EI workforce, which would be necessary for continued pyramid developments. </w:t>
      </w:r>
      <w:r>
        <w:rPr>
          <w:color w:val="000000" w:themeColor="text1"/>
        </w:rPr>
        <w:br/>
      </w:r>
      <w:r>
        <w:rPr>
          <w:color w:val="000000" w:themeColor="text1"/>
        </w:rPr>
        <w:br/>
        <w:t>Social emotional supports continue amidst the personnel shortages. However, the EI system and the ICC have received presentations/training opportunities from the Nevada Association for Infant and Early Childhood Mental Health (NV-AIECMH). This program is bringing a new Infant Mental Health Endorsement® to Nevada in collaboration with the Alliance for the Advancement of Infant Mental Health. Nevada is joining with 34 other states in this international effort to elevate care for families with infants and young children. The Nevada Association for Infant and Early Childhood Mental Health invited the EI system to attend the launch of Infant Mental Health Endorsement® to Nevada providers. This event was hosted at two In Person Locations (Reno and Las Vegas) with options to join virtually by Rural providers. Nevada's EI system has 1 Developmental Specialist/Psychological Development Counselor who earned this new Mental Health Endorsement re: infants and young children.</w:t>
      </w:r>
    </w:p>
    <w:p w14:paraId="66D73354" w14:textId="77777777" w:rsidR="0041306A" w:rsidRDefault="0041306A" w:rsidP="0041306A">
      <w:pPr>
        <w:rPr>
          <w:rFonts w:cs="Arial"/>
          <w:b/>
          <w:bCs/>
        </w:rPr>
      </w:pPr>
      <w:r>
        <w:rPr>
          <w:rFonts w:cs="Arial"/>
          <w:b/>
          <w:bCs/>
        </w:rPr>
        <w:t>If yes, describe a rationale or justification for the changes to the SSIP evaluation plan.</w:t>
      </w:r>
    </w:p>
    <w:p w14:paraId="68D90657" w14:textId="66B4341E" w:rsidR="0041306A" w:rsidRDefault="0041306A" w:rsidP="0041306A">
      <w:pPr>
        <w:rPr>
          <w:b/>
          <w:bCs/>
        </w:rPr>
      </w:pPr>
      <w:r>
        <w:rPr>
          <w:color w:val="000000" w:themeColor="text1"/>
        </w:rPr>
        <w:t xml:space="preserve">Updates to Benchmarks of Quality occurred during SLT meetings during 2023 regarding continued scale up however efforts have slowed due to the lack of practitioner coaches </w:t>
      </w:r>
      <w:proofErr w:type="gramStart"/>
      <w:r>
        <w:rPr>
          <w:color w:val="000000" w:themeColor="text1"/>
        </w:rPr>
        <w:t>as a result of</w:t>
      </w:r>
      <w:proofErr w:type="gramEnd"/>
      <w:r>
        <w:rPr>
          <w:color w:val="000000" w:themeColor="text1"/>
        </w:rPr>
        <w:t xml:space="preserve"> turnover and critical personnel shortage which stemmed from the Great Resignation that occurred in Nevada's EI system during 2021 to 2022. The need to address retention to bolster the EI workforce was prioritized </w:t>
      </w:r>
      <w:proofErr w:type="gramStart"/>
      <w:r>
        <w:rPr>
          <w:color w:val="000000" w:themeColor="text1"/>
        </w:rPr>
        <w:t>in order to</w:t>
      </w:r>
      <w:proofErr w:type="gramEnd"/>
      <w:r>
        <w:rPr>
          <w:color w:val="000000" w:themeColor="text1"/>
        </w:rPr>
        <w:t xml:space="preserve"> promote continuity of services for families, which would be necessary for continued pyramid developments. </w:t>
      </w:r>
    </w:p>
    <w:p w14:paraId="2D4D51DA" w14:textId="58145AD2" w:rsidR="00EE4E0F" w:rsidRDefault="00EE4E0F" w:rsidP="003B71AB">
      <w:pPr>
        <w:rPr>
          <w:rFonts w:cs="Arial"/>
          <w:b/>
          <w:bCs/>
        </w:rPr>
      </w:pPr>
    </w:p>
    <w:p w14:paraId="1FED1D02" w14:textId="77777777" w:rsidR="0041306A" w:rsidRDefault="0041306A" w:rsidP="003B71AB">
      <w:pPr>
        <w:rPr>
          <w:rFonts w:cs="Arial"/>
          <w:b/>
          <w:bCs/>
        </w:rPr>
      </w:pPr>
    </w:p>
    <w:p w14:paraId="051DAFDE" w14:textId="4F021F29" w:rsidR="003B71AB" w:rsidRPr="00E30972" w:rsidRDefault="00A85B6E" w:rsidP="003B71AB">
      <w:pPr>
        <w:rPr>
          <w:rFonts w:cs="Arial"/>
          <w:b/>
        </w:rPr>
      </w:pPr>
      <w:bookmarkStart w:id="72" w:name="_Hlk109647010"/>
      <w:r w:rsidRPr="008E5E4F">
        <w:rPr>
          <w:rFonts w:cs="Arial"/>
          <w:b/>
          <w:szCs w:val="16"/>
        </w:rPr>
        <w:t>Provide a summary of each infrastructure improvement strategy implemented in the reporting period.</w:t>
      </w:r>
    </w:p>
    <w:bookmarkEnd w:id="72"/>
    <w:p w14:paraId="25F98C7D" w14:textId="49E84F34" w:rsidR="00EE4E0F" w:rsidRPr="009A49C9" w:rsidRDefault="00EE4E0F" w:rsidP="00EE4E0F">
      <w:pPr>
        <w:rPr>
          <w:b/>
          <w:bCs/>
        </w:rPr>
      </w:pPr>
      <w:r w:rsidRPr="00ED172B">
        <w:rPr>
          <w:color w:val="000000" w:themeColor="text1"/>
        </w:rPr>
        <w:t xml:space="preserve">Indicator 11 also covers the journey of the Nevada Early Intervention Professional Development Center from its conception as a workforce retention initiative in 2022 to present day success for the Developmental Specialist workforce serving infants and toddlers with disabilities and their families. </w:t>
      </w:r>
      <w:r w:rsidRPr="00ED172B">
        <w:rPr>
          <w:color w:val="000000" w:themeColor="text1"/>
        </w:rPr>
        <w:br/>
      </w:r>
      <w:r w:rsidRPr="00ED172B">
        <w:rPr>
          <w:color w:val="000000" w:themeColor="text1"/>
        </w:rPr>
        <w:lastRenderedPageBreak/>
        <w:br/>
        <w:t xml:space="preserve">During FFY 22, a group of committed volunteers brought the Nevada Early Intervention Professional Development Center from a workforce development dream into reality to benefit families with infants and toddlers with disabilities and the individuals who serve them. During July 2022 to March 2023, the Nevada Early Intervention (EI) Services system performed strategic planning to address critical personnel shortages for the Developmental Specialist (DS) position as related to barriers associated with the COVID-19 pandemic (e.g., the Great Resignation, skyrocketing housing, food, fuel and tuition costs). </w:t>
      </w:r>
      <w:r w:rsidRPr="00ED172B">
        <w:rPr>
          <w:color w:val="000000" w:themeColor="text1"/>
        </w:rPr>
        <w:br/>
      </w:r>
      <w:r w:rsidRPr="00ED172B">
        <w:rPr>
          <w:color w:val="000000" w:themeColor="text1"/>
        </w:rPr>
        <w:br/>
        <w:t xml:space="preserve">While DS position coursework requirements may be met through institutions of higher education, an additional retention option to traditional academia was developed by the PD Center Work Group to assist employees in meeting their professional requirements at no cost. The Nevada EI Professional Development Center (PD Center) was approved for funding during October 2022 with legislatively funded Governor Finance Office (GFO) American Rescue Plan Act (ARPA) grant funds to facilitate this retention initiative of new professional development options, the first being a Developmental Specialist Series (DS Series). The PD Center will be sustained with annual formula grant funds when the GFO ARPA funds expire during June 2026. </w:t>
      </w:r>
      <w:r w:rsidRPr="00ED172B">
        <w:rPr>
          <w:color w:val="000000" w:themeColor="text1"/>
        </w:rPr>
        <w:br/>
      </w:r>
      <w:r w:rsidRPr="00ED172B">
        <w:rPr>
          <w:color w:val="000000" w:themeColor="text1"/>
        </w:rPr>
        <w:br/>
        <w:t>The DS Series through the PD Center is comprised of six courses that may be completed by professional Learners in 13 months through virtual class meetings, course assignments, practicum and a professional capstone. The program culminates in IDEA Part C Office’s Alternative Certification which is an approved comparable certification to the Nevada Department of Education’s educator licensure endorsement in Early Childhood Developmentally Delayed 0-7 years. Curriculum for these courses have been developed by the EI system’s PD Work Group which is comprised of experienced and licensed EI professionals. The curriculum follows rigor and best practices according to national standards set by national technical assistance centers including the Early Childhood Personnel Center. Innovative Capstone projects are required to be developed by the professional Learners in order to meet the requirement of creating a unique project will add value to the EI system.</w:t>
      </w:r>
      <w:r w:rsidRPr="00ED172B">
        <w:rPr>
          <w:color w:val="000000" w:themeColor="text1"/>
        </w:rPr>
        <w:br/>
      </w:r>
      <w:r w:rsidRPr="00ED172B">
        <w:rPr>
          <w:color w:val="000000" w:themeColor="text1"/>
        </w:rPr>
        <w:br/>
        <w:t xml:space="preserve">Cohort 1 of the DS Series began in April 2023 with 29 </w:t>
      </w:r>
      <w:proofErr w:type="gramStart"/>
      <w:r w:rsidRPr="00ED172B">
        <w:rPr>
          <w:color w:val="000000" w:themeColor="text1"/>
        </w:rPr>
        <w:t>Learners, and</w:t>
      </w:r>
      <w:proofErr w:type="gramEnd"/>
      <w:r w:rsidRPr="00ED172B">
        <w:rPr>
          <w:color w:val="000000" w:themeColor="text1"/>
        </w:rPr>
        <w:t xml:space="preserve"> will conclude with 18 Learners set to graduate in April 2024. Cohort 2 began in August 2023 with 27 Learners, with graduation during September 2024. Cohort 3 will begin during March 2024 with approximately 20 Learners, with graduation during April 2025. The PD Center has benefited these 65 Learners in maintaining their positions at no cost to them, and ultimately is projected to positively impact their combined caseloads of over 1,000 children in terms of timely delivery and quality of services. The PD Center is looking forward to providing additional professional development options for EI system personnel, families and community stakeholders. </w:t>
      </w:r>
      <w:r w:rsidRPr="00ED172B">
        <w:rPr>
          <w:color w:val="000000" w:themeColor="text1"/>
        </w:rPr>
        <w:br/>
      </w:r>
      <w:r w:rsidRPr="00ED172B">
        <w:rPr>
          <w:color w:val="000000" w:themeColor="text1"/>
        </w:rPr>
        <w:br/>
        <w:t>Indicator 11 (SSIP) covered the history of the Nevada Early Intervention PD Center and the need that it arose from. Opportunities for stakeholder engagement are provided at every quarterly ICC meeting and monthly TA meeting with state and community EI programs for interested individuals or groups who may wish to contribute to, evaluate or replicate this retention initiative. For more updates on this workforce retention initiative, please see our webpage which includes the strategic plan/road map that will take us in new directions such as additional programs to address critical shortages and family training: Nevada Early Intervention Professional Development Center (nv.gov)</w:t>
      </w:r>
      <w:r w:rsidRPr="00ED172B">
        <w:rPr>
          <w:color w:val="000000" w:themeColor="text1"/>
        </w:rPr>
        <w:br/>
      </w:r>
      <w:r w:rsidRPr="00ED172B">
        <w:rPr>
          <w:color w:val="000000" w:themeColor="text1"/>
        </w:rPr>
        <w:br/>
        <w:t>The Division for Early Childhood (DEC) Recommended Practices which will are emphasized in this ongoing retention initiative includes:</w:t>
      </w:r>
      <w:r w:rsidRPr="00ED172B">
        <w:rPr>
          <w:color w:val="000000" w:themeColor="text1"/>
        </w:rPr>
        <w:br/>
      </w:r>
      <w:r w:rsidRPr="00ED172B">
        <w:rPr>
          <w:color w:val="000000" w:themeColor="text1"/>
        </w:rPr>
        <w:br/>
        <w:t xml:space="preserve">Leadership. L9. Leaders develop and implement an evidence-based professional development system or approach that provides practitioners a variety of supports to ensure they have the knowledge and skills needed to implement the DEC Recommended Practices. </w:t>
      </w:r>
      <w:r w:rsidRPr="00ED172B">
        <w:rPr>
          <w:color w:val="000000" w:themeColor="text1"/>
        </w:rPr>
        <w:br/>
        <w:t xml:space="preserve">Leadership. L10. Leaders ensure practitioners know and follow professional standards and all applicable laws and regulations governing service provision. </w:t>
      </w:r>
      <w:r w:rsidRPr="00ED172B">
        <w:rPr>
          <w:color w:val="000000" w:themeColor="text1"/>
        </w:rPr>
        <w:br/>
        <w:t>Leadership. L11. Leaders collaborate with higher education, state licensing and certification agencies, practitioners, professional associations, and other stakeholders to develop or revise state competencies that align with DEC, Council for Exceptional Children (CEC), and other national professional standards.</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bookmarkStart w:id="73"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85B6E">
        <w:rPr>
          <w:rFonts w:cs="Arial"/>
          <w:b/>
          <w:bCs/>
        </w:rPr>
        <w:t>SiMR</w:t>
      </w:r>
      <w:proofErr w:type="spellEnd"/>
      <w:r w:rsidRPr="00A85B6E">
        <w:rPr>
          <w:rFonts w:cs="Arial"/>
          <w:b/>
          <w:bCs/>
        </w:rPr>
        <w:t xml:space="preserve">; (b) sustainability of systems improvement efforts; and/or (c) scale-up. </w:t>
      </w:r>
    </w:p>
    <w:bookmarkEnd w:id="73"/>
    <w:p w14:paraId="6C845F06" w14:textId="7D9487AF" w:rsidR="000379F6" w:rsidRDefault="00717461" w:rsidP="006237B0">
      <w:pPr>
        <w:rPr>
          <w:rFonts w:cs="Arial"/>
          <w:b/>
          <w:bCs/>
        </w:rPr>
      </w:pPr>
      <w:r w:rsidRPr="00ED172B">
        <w:rPr>
          <w:color w:val="000000" w:themeColor="text1"/>
        </w:rPr>
        <w:t xml:space="preserve">Outcomes are related to a Professional Development framework: Outcomes for this past reporting period coincide with the immediate challenges of a critical personnel shortage and retention/professional development initiatives to: </w:t>
      </w:r>
      <w:r w:rsidRPr="00ED172B">
        <w:rPr>
          <w:color w:val="000000" w:themeColor="text1"/>
        </w:rPr>
        <w:br/>
      </w:r>
      <w:r w:rsidRPr="00ED172B">
        <w:rPr>
          <w:color w:val="000000" w:themeColor="text1"/>
        </w:rPr>
        <w:br/>
        <w:t>a) Promote continuity of services for families (so that families would not need to wait to be assigned a Developmental Specialist/Service Coordinator to start services);</w:t>
      </w:r>
      <w:r w:rsidRPr="00ED172B">
        <w:rPr>
          <w:color w:val="000000" w:themeColor="text1"/>
        </w:rPr>
        <w:br/>
      </w:r>
      <w:r w:rsidRPr="00ED172B">
        <w:rPr>
          <w:color w:val="000000" w:themeColor="text1"/>
        </w:rPr>
        <w:br/>
        <w:t>b) Promote the numbers of staff needed to sustain improvement efforts such as succession of staff and the transference of knowledge to new staff; and,</w:t>
      </w:r>
      <w:r w:rsidRPr="00ED172B">
        <w:rPr>
          <w:color w:val="000000" w:themeColor="text1"/>
        </w:rPr>
        <w:br/>
      </w:r>
      <w:r w:rsidRPr="00ED172B">
        <w:rPr>
          <w:color w:val="000000" w:themeColor="text1"/>
        </w:rPr>
        <w:br/>
        <w:t xml:space="preserve">c) Continuity of services are needed in order for the system to be at a healthy place to have pyramid scale up such as with practitioner coaches, program coaches and data teams to mentor, coach and collect fidelity of practices data. Staff are reporting that they are struggling to keep up with the demands of heavy caseloads, dealing with new data system billing issues, completing required coursework to maintain positions (even at no cost), and taking on more assignments from their management. The EI system in Nevada is still recovering from the Great Resignation of 2021-2022 which resulted from the COVID-19 pandemic, and turnover continues to be a </w:t>
      </w:r>
      <w:proofErr w:type="gramStart"/>
      <w:r w:rsidRPr="00ED172B">
        <w:rPr>
          <w:color w:val="000000" w:themeColor="text1"/>
        </w:rPr>
        <w:t>concerns</w:t>
      </w:r>
      <w:proofErr w:type="gramEnd"/>
      <w:r w:rsidRPr="00ED172B">
        <w:rPr>
          <w:color w:val="000000" w:themeColor="text1"/>
        </w:rPr>
        <w:t xml:space="preserve"> for some EI programs. </w:t>
      </w:r>
      <w:r w:rsidRPr="00ED172B">
        <w:rPr>
          <w:color w:val="000000" w:themeColor="text1"/>
        </w:rPr>
        <w:br/>
      </w:r>
      <w:r w:rsidRPr="00ED172B">
        <w:rPr>
          <w:color w:val="000000" w:themeColor="text1"/>
        </w:rPr>
        <w:br/>
        <w:t>Therefore, while the EI workforce pipeline is opened for more personnel to enter the field and then be trained, in the meantime, existing supports and services may be enhanced for families through their existing IFSP teams. All direct service provider, regardless of whether a program was, is or still is pending to be a scale up pyramid implementation site, must still receive professional development on social emotional development/pyramid practices such as through the e-modules developed by the Pyramid Model Consortium and paid for by OSEP ARPA funding. This requirement ensures that all programs receive the proper trainings in pyramid model and that there does not need to be a wait for a program to become an implementation site prior to staff becoming more knowledgeable on pyramid practices.</w:t>
      </w:r>
      <w:r w:rsidRPr="00ED172B">
        <w:rPr>
          <w:color w:val="000000" w:themeColor="text1"/>
        </w:rPr>
        <w:br/>
      </w:r>
      <w:r w:rsidRPr="00ED172B">
        <w:rPr>
          <w:color w:val="000000" w:themeColor="text1"/>
        </w:rPr>
        <w:br/>
        <w:t xml:space="preserve">Short term outcomes include retaining personnel within their positions through the first year from hire. </w:t>
      </w:r>
      <w:r w:rsidRPr="00ED172B">
        <w:rPr>
          <w:color w:val="000000" w:themeColor="text1"/>
        </w:rPr>
        <w:br/>
      </w:r>
      <w:r w:rsidRPr="00ED172B">
        <w:rPr>
          <w:color w:val="000000" w:themeColor="text1"/>
        </w:rPr>
        <w:br/>
        <w:t xml:space="preserve">Intermediate outcomes include utilizing the PD Center to assist new Developmental Specialist personnel with options for academic coursework that will meet comparable licensure/certification requirements at no cost to the Learner. </w:t>
      </w:r>
      <w:r w:rsidRPr="00ED172B">
        <w:rPr>
          <w:color w:val="000000" w:themeColor="text1"/>
        </w:rPr>
        <w:br/>
      </w:r>
      <w:r w:rsidRPr="00ED172B">
        <w:rPr>
          <w:color w:val="000000" w:themeColor="text1"/>
        </w:rPr>
        <w:br/>
        <w:t>Longer term outcomes include the promotion of trained and qualified EI personnel such that these personnel are confident and competent to maintain and provide services to their caseloads.</w:t>
      </w:r>
    </w:p>
    <w:p w14:paraId="372876BC" w14:textId="75D5A78F" w:rsidR="009C2256" w:rsidRDefault="009C2256" w:rsidP="009C2256">
      <w:pPr>
        <w:rPr>
          <w:rFonts w:cs="Arial"/>
          <w:b/>
          <w:bCs/>
        </w:rPr>
      </w:pPr>
      <w:bookmarkStart w:id="74" w:name="_Hlk109647025"/>
      <w:r w:rsidRPr="009C2256">
        <w:rPr>
          <w:rFonts w:cs="Arial"/>
          <w:b/>
          <w:bCs/>
        </w:rPr>
        <w:lastRenderedPageBreak/>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4"/>
    <w:p w14:paraId="15FABCCC" w14:textId="764152CE" w:rsidR="000039B6" w:rsidRPr="000039B6" w:rsidRDefault="000039B6" w:rsidP="009C2256">
      <w:pPr>
        <w:rPr>
          <w:b/>
          <w:bCs/>
        </w:rPr>
      </w:pPr>
      <w:r w:rsidRPr="00ED172B">
        <w:rPr>
          <w:color w:val="000000" w:themeColor="text1"/>
        </w:rPr>
        <w:t>NO</w:t>
      </w:r>
    </w:p>
    <w:p w14:paraId="0B9E8F82" w14:textId="77777777" w:rsidR="00EB4B7B" w:rsidRPr="00EB4B7B" w:rsidRDefault="00EB4B7B" w:rsidP="00EB4B7B">
      <w:pPr>
        <w:rPr>
          <w:rFonts w:cs="Arial"/>
          <w:b/>
          <w:bCs/>
        </w:rPr>
      </w:pPr>
      <w:bookmarkStart w:id="75" w:name="_Hlk109647038"/>
      <w:r w:rsidRPr="00EB4B7B">
        <w:rPr>
          <w:rFonts w:cs="Arial"/>
          <w:b/>
          <w:bCs/>
        </w:rPr>
        <w:t xml:space="preserve">Provide a summary of the next steps for each infrastructure improvement strategy and the anticipated outcomes to be attained during the next reporting period. </w:t>
      </w:r>
    </w:p>
    <w:bookmarkEnd w:id="75"/>
    <w:p w14:paraId="2B44D59F" w14:textId="71C78214" w:rsidR="00370225" w:rsidRPr="005137B6" w:rsidRDefault="00370225" w:rsidP="00370225">
      <w:pPr>
        <w:rPr>
          <w:b/>
          <w:bCs/>
        </w:rPr>
      </w:pPr>
      <w:r w:rsidRPr="00ED172B">
        <w:rPr>
          <w:color w:val="000000" w:themeColor="text1"/>
        </w:rPr>
        <w:t>Next steps include:</w:t>
      </w:r>
      <w:r w:rsidRPr="00ED172B">
        <w:rPr>
          <w:color w:val="000000" w:themeColor="text1"/>
        </w:rPr>
        <w:br/>
      </w:r>
      <w:r w:rsidRPr="00ED172B">
        <w:rPr>
          <w:color w:val="000000" w:themeColor="text1"/>
        </w:rPr>
        <w:br/>
        <w:t>Continued SLT action planning meetings.</w:t>
      </w:r>
      <w:r w:rsidRPr="00ED172B">
        <w:rPr>
          <w:color w:val="000000" w:themeColor="text1"/>
        </w:rPr>
        <w:br/>
        <w:t>Continue pyramid practice e-modules access for all EI personnel.</w:t>
      </w:r>
      <w:r w:rsidRPr="00ED172B">
        <w:rPr>
          <w:color w:val="000000" w:themeColor="text1"/>
        </w:rPr>
        <w:br/>
        <w:t xml:space="preserve">Continued PD courses to bolster EI workforce retention for Developmental Specialists, with more course options for additional disciplines. </w:t>
      </w:r>
      <w:r w:rsidRPr="00ED172B">
        <w:rPr>
          <w:color w:val="000000" w:themeColor="text1"/>
        </w:rPr>
        <w:br/>
        <w:t>Continue researching and providing as possible early childhood mental health trainings and certifications. within Nevada programs.</w:t>
      </w:r>
      <w:r w:rsidRPr="00ED172B">
        <w:rPr>
          <w:color w:val="000000" w:themeColor="text1"/>
        </w:rPr>
        <w:br/>
      </w:r>
      <w:r w:rsidRPr="00ED172B">
        <w:rPr>
          <w:color w:val="000000" w:themeColor="text1"/>
        </w:rPr>
        <w:br/>
        <w:t xml:space="preserve">Short term outcomes include retaining personnel within their positions through the first year from hire. </w:t>
      </w:r>
      <w:r w:rsidRPr="00ED172B">
        <w:rPr>
          <w:color w:val="000000" w:themeColor="text1"/>
        </w:rPr>
        <w:br/>
      </w:r>
      <w:r w:rsidRPr="00ED172B">
        <w:rPr>
          <w:color w:val="000000" w:themeColor="text1"/>
        </w:rPr>
        <w:br/>
        <w:t xml:space="preserve">Intermediate outcomes include utilizing the PD Center to assist new Developmental Specialist personnel with options for academic coursework that will meet comparable licensure/certification requirements at no cost to the Learner. </w:t>
      </w:r>
      <w:r w:rsidRPr="00ED172B">
        <w:rPr>
          <w:color w:val="000000" w:themeColor="text1"/>
        </w:rPr>
        <w:br/>
      </w:r>
      <w:r w:rsidRPr="00ED172B">
        <w:rPr>
          <w:color w:val="000000" w:themeColor="text1"/>
        </w:rPr>
        <w:br/>
        <w:t>Longer term outcomes include the promotion of trained and qualified EI personnel such that these personnel are confident and competent to maintain and provide services to their caseloads.</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bookmarkStart w:id="76" w:name="_Hlk109647044"/>
      <w:r w:rsidRPr="0072398B">
        <w:rPr>
          <w:rFonts w:cs="Arial"/>
          <w:b/>
          <w:bCs/>
        </w:rPr>
        <w:t>List the selected evidence-based practices implemented in the reporting period:</w:t>
      </w:r>
    </w:p>
    <w:bookmarkEnd w:id="76"/>
    <w:p w14:paraId="741AB6F5" w14:textId="3EC0E8B5" w:rsidR="00582D95" w:rsidRDefault="00582D95" w:rsidP="00582D95">
      <w:pPr>
        <w:rPr>
          <w:color w:val="000000" w:themeColor="text1"/>
        </w:rPr>
      </w:pPr>
      <w:r w:rsidRPr="00ED172B">
        <w:rPr>
          <w:color w:val="000000" w:themeColor="text1"/>
        </w:rPr>
        <w:t xml:space="preserve">The evidence-based recommended practices that were implemented in Nevada during the FFY 2022 reporting period remained as previously reported on as well as included practices to address system retention issues due to critical staff shortages. </w:t>
      </w:r>
      <w:r w:rsidRPr="00ED172B">
        <w:rPr>
          <w:color w:val="000000" w:themeColor="text1"/>
        </w:rPr>
        <w:br/>
      </w:r>
      <w:r w:rsidRPr="00ED172B">
        <w:rPr>
          <w:color w:val="000000" w:themeColor="text1"/>
        </w:rPr>
        <w:br/>
        <w:t>From the Division for Early Childhood (DEC) Recommended Practices on Leadership in reference to Nevada Part C securing funding, seeking TA and planning to implement a new professional development center as a strategic retention initiative:</w:t>
      </w:r>
      <w:r w:rsidRPr="00ED172B">
        <w:rPr>
          <w:color w:val="000000" w:themeColor="text1"/>
        </w:rPr>
        <w:br/>
      </w:r>
      <w:r w:rsidRPr="00ED172B">
        <w:rPr>
          <w:color w:val="000000" w:themeColor="text1"/>
        </w:rPr>
        <w:br/>
        <w:t>Leadership. L8. Leaders work across levels and sectors to secure fiscal and human resources and maximize the use of these resources to successfully implement the DEC Recommended Practices.</w:t>
      </w:r>
      <w:r w:rsidRPr="00ED172B">
        <w:rPr>
          <w:color w:val="000000" w:themeColor="text1"/>
        </w:rPr>
        <w:br/>
      </w:r>
      <w:r w:rsidRPr="00ED172B">
        <w:rPr>
          <w:color w:val="000000" w:themeColor="text1"/>
        </w:rPr>
        <w:br/>
        <w:t>Leadership. L9. Leaders develop and implement an evidence-based professional development system or approach that provides practitioners a variety of supports to ensure they have the knowledge and skills needed to implement the DEC Recommended Practices.</w:t>
      </w:r>
      <w:r w:rsidRPr="00ED172B">
        <w:rPr>
          <w:color w:val="000000" w:themeColor="text1"/>
        </w:rPr>
        <w:br/>
      </w:r>
      <w:r w:rsidRPr="00ED172B">
        <w:rPr>
          <w:color w:val="000000" w:themeColor="text1"/>
        </w:rPr>
        <w:br/>
        <w:t xml:space="preserve">Leadership. L10. Leaders ensure practitioners know and follow professional standards and all applicable laws and regulations governing service provision. </w:t>
      </w:r>
      <w:r w:rsidRPr="00ED172B">
        <w:rPr>
          <w:color w:val="000000" w:themeColor="text1"/>
        </w:rPr>
        <w:br/>
      </w:r>
      <w:r w:rsidRPr="00ED172B">
        <w:rPr>
          <w:color w:val="000000" w:themeColor="text1"/>
        </w:rPr>
        <w:br/>
        <w:t>Leadership. L11. Leaders collaborate with higher education, state licensing and certification agencies, practitioners, professional associations, and other stakeholders to develop or revise state competencies that align with DEC, Council for Exceptional Children (CEC), and other national professional standards.</w:t>
      </w:r>
      <w:r w:rsidRPr="00ED172B">
        <w:rPr>
          <w:color w:val="000000" w:themeColor="text1"/>
        </w:rPr>
        <w:br/>
      </w:r>
      <w:r w:rsidRPr="00ED172B">
        <w:rPr>
          <w:color w:val="000000" w:themeColor="text1"/>
        </w:rPr>
        <w:br/>
        <w:t>Listed below for reference are the evidence-based practices previously listed in the previous year's FFY 2020 and FFY 2021 SPP/APR SSIP:</w:t>
      </w:r>
      <w:r w:rsidRPr="00ED172B">
        <w:rPr>
          <w:color w:val="000000" w:themeColor="text1"/>
        </w:rPr>
        <w:br/>
      </w:r>
      <w:r w:rsidRPr="00ED172B">
        <w:rPr>
          <w:color w:val="000000" w:themeColor="text1"/>
        </w:rPr>
        <w:br/>
        <w:t>1) Division for Early Childhood’s Recommended Practices (2014, http://www.dec-sped.org/recommendedpractices) and</w:t>
      </w:r>
      <w:r w:rsidRPr="00ED172B">
        <w:rPr>
          <w:color w:val="000000" w:themeColor="text1"/>
        </w:rPr>
        <w:br/>
        <w:t>2) OSEP Technical Assistance Community of Practice Workgroup on Principles and Practices in Natural Environments (2008, https://ectacenter.org/~pdfs/topics/families/Finalmissionandprinciples3_11_08.pdf)</w:t>
      </w:r>
      <w:r w:rsidRPr="00ED172B">
        <w:rPr>
          <w:color w:val="000000" w:themeColor="text1"/>
        </w:rPr>
        <w:br/>
        <w:t>3) National Center for Pyramid Model Innovations (NCPMI): All practices listed in the Early Interventionist Pyramid Practices Fidelity Instrument (EIPPFI)</w:t>
      </w:r>
      <w:r w:rsidRPr="00ED172B">
        <w:rPr>
          <w:color w:val="000000" w:themeColor="text1"/>
        </w:rPr>
        <w:br/>
      </w:r>
      <w:r w:rsidRPr="00ED172B">
        <w:rPr>
          <w:color w:val="000000" w:themeColor="text1"/>
        </w:rPr>
        <w:br/>
        <w:t>Ongoing evidence-based practices in NV Part C include, but are not limited to due to space limitations in this reporting section:</w:t>
      </w:r>
      <w:r w:rsidRPr="00ED172B">
        <w:rPr>
          <w:color w:val="000000" w:themeColor="text1"/>
        </w:rPr>
        <w:br/>
      </w:r>
      <w:r w:rsidRPr="00ED172B">
        <w:rPr>
          <w:color w:val="000000" w:themeColor="text1"/>
        </w:rPr>
        <w:br/>
        <w:t>• Building partnerships with families: Practitioner identifies and uses the caregiver’s individual preferences, priorities, and needs when providing supports. (DEC F-3, F-4; EI Key Principle 4)</w:t>
      </w:r>
      <w:r w:rsidRPr="00ED172B">
        <w:rPr>
          <w:color w:val="000000" w:themeColor="text1"/>
        </w:rPr>
        <w:br/>
      </w:r>
      <w:r w:rsidRPr="00ED172B">
        <w:rPr>
          <w:color w:val="000000" w:themeColor="text1"/>
        </w:rPr>
        <w:br/>
        <w:t>DEC Family F3. Practitioners are responsive to the family’s concerns, priorities, and changing life circumstances.</w:t>
      </w:r>
      <w:r w:rsidRPr="00ED172B">
        <w:rPr>
          <w:color w:val="000000" w:themeColor="text1"/>
        </w:rPr>
        <w:br/>
        <w:t>DEC Family F4. Practitioners and the family work together to create outcomes or goals, develop individualized plans, and implement practices that address the family's priorities and concerns and the child's strengths and needs.</w:t>
      </w:r>
      <w:r w:rsidRPr="00ED172B">
        <w:rPr>
          <w:color w:val="000000" w:themeColor="text1"/>
        </w:rPr>
        <w:br/>
        <w:t>Key principle 4: The early intervention process from initial contacts through transition must be dynamic and individualized to reflect the child’s and family members’ preferences, learning styles and cultural beliefs.</w:t>
      </w:r>
      <w:r w:rsidRPr="00ED172B">
        <w:rPr>
          <w:color w:val="000000" w:themeColor="text1"/>
        </w:rPr>
        <w:br/>
      </w:r>
      <w:r w:rsidRPr="00ED172B">
        <w:rPr>
          <w:color w:val="000000" w:themeColor="text1"/>
        </w:rPr>
        <w:br/>
        <w:t>• Social emotional development: Practitioner supports caregivers in promoting their child’s social emotional competence by scaffolding and expanding on their child’s expressions, interactions, play, communication, and autonomy. (DEC F-5, F- 6, INT1-5; EI Key Principle 3)</w:t>
      </w:r>
      <w:r w:rsidRPr="00ED172B">
        <w:rPr>
          <w:color w:val="000000" w:themeColor="text1"/>
        </w:rPr>
        <w:br/>
        <w:t>DEC Family F5. Practitioners support family functioning, promote family confidence and competence, and strengthen family- child relationships by acting in ways that recognize and build on family strengths and capacities.</w:t>
      </w:r>
      <w:r w:rsidRPr="00ED172B">
        <w:rPr>
          <w:color w:val="000000" w:themeColor="text1"/>
        </w:rPr>
        <w:br/>
        <w:t>DEC Family F6. Practitioners engage the family in opportunities that support and strengthen parenting knowledge and skills and parenting competence and confidence in ways that are flexible, individualized, and tailored to the family’s preferences.</w:t>
      </w:r>
      <w:r w:rsidRPr="00ED172B">
        <w:rPr>
          <w:color w:val="000000" w:themeColor="text1"/>
        </w:rPr>
        <w:br/>
        <w:t>DEC Interaction INT5. Practitioners promote the child's problem-solving behavior by observing, interpreting, and scaffolding in response to the child's growing level of autonomy and self-regulation.</w:t>
      </w:r>
      <w:r w:rsidRPr="00ED172B">
        <w:rPr>
          <w:color w:val="000000" w:themeColor="text1"/>
        </w:rPr>
        <w:br/>
        <w:t xml:space="preserve">DEC Teaming and Collaboration TC2. Practitioners and families work together systematically and regularly exchange expertise, knowledge and information to build team capacity, and jointly solve problems, plan and implement interventions. </w:t>
      </w:r>
      <w:r w:rsidRPr="00ED172B">
        <w:rPr>
          <w:color w:val="000000" w:themeColor="text1"/>
        </w:rPr>
        <w:br/>
        <w:t>Key Principle 3. The primary role of a service provider in early intervention is to work with and support family members and caregivers in children’s lives.</w:t>
      </w:r>
      <w:r w:rsidRPr="00ED172B">
        <w:rPr>
          <w:color w:val="000000" w:themeColor="text1"/>
        </w:rPr>
        <w:br/>
      </w:r>
      <w:r w:rsidRPr="00ED172B">
        <w:rPr>
          <w:color w:val="000000" w:themeColor="text1"/>
        </w:rPr>
        <w:br/>
        <w:t>• Family Centered Coaching: Practitioner collaborates with the caregiver to identify opportunities to practice new skills during daily routines and activities in between visits. (DEC INS-13; EI key principle 3, 4 already listed above)</w:t>
      </w:r>
      <w:r w:rsidRPr="00ED172B">
        <w:rPr>
          <w:color w:val="000000" w:themeColor="text1"/>
        </w:rPr>
        <w:br/>
        <w:t>DEC Instruction INS13. Practitioners use coaching or consultation strategies with primary caregivers or other adults to facilitate positive adult- child interactions and instruction intentionally designed to promote child learning and development.</w:t>
      </w:r>
      <w:r w:rsidRPr="00ED172B">
        <w:rPr>
          <w:color w:val="000000" w:themeColor="text1"/>
        </w:rPr>
        <w:br/>
      </w:r>
      <w:r w:rsidRPr="00ED172B">
        <w:rPr>
          <w:color w:val="000000" w:themeColor="text1"/>
        </w:rPr>
        <w:br/>
        <w:t>• Dyadic Relationships: Practitioner coaches the caregiver in responding to challenging behaviors in ways that reduce the efficacy and efficiency of the challenging behavior. (INS 7, INS 9, INS 13, INT5. EI key principle 2, 3).</w:t>
      </w:r>
      <w:r w:rsidRPr="00ED172B">
        <w:rPr>
          <w:color w:val="000000" w:themeColor="text1"/>
        </w:rPr>
        <w:br/>
      </w:r>
      <w:r w:rsidRPr="00ED172B">
        <w:rPr>
          <w:color w:val="000000" w:themeColor="text1"/>
        </w:rPr>
        <w:lastRenderedPageBreak/>
        <w:t>DEC Instruction I7. Practitioners use explicit feedback and consequences to increase child engagement, play, and skills.</w:t>
      </w:r>
      <w:r w:rsidRPr="00ED172B">
        <w:rPr>
          <w:color w:val="000000" w:themeColor="text1"/>
        </w:rPr>
        <w:br/>
        <w:t>DEC Instruction I9. Practitioners use peer mediated intervention to teach skills and to promote child engagement and learning.</w:t>
      </w:r>
      <w:r w:rsidRPr="00ED172B">
        <w:rPr>
          <w:color w:val="000000" w:themeColor="text1"/>
        </w:rPr>
        <w:br/>
        <w:t>DEC Instruction INS13. Already listed above</w:t>
      </w:r>
      <w:r w:rsidRPr="00ED172B">
        <w:rPr>
          <w:color w:val="000000" w:themeColor="text1"/>
        </w:rPr>
        <w:br/>
        <w:t>DEC Interaction INT5. Practitioners promote the child's problem-solving behavior by observing, interpreting, and scaffolding in response to the child's growing level of autonomy and self- regulation.</w:t>
      </w:r>
      <w:r w:rsidRPr="00ED172B">
        <w:rPr>
          <w:color w:val="000000" w:themeColor="text1"/>
        </w:rPr>
        <w:br/>
        <w:t>Key principle 2. All families, with the necessary supports and resources, can enhance their children’s learning and development.</w:t>
      </w:r>
      <w:r w:rsidRPr="00ED172B">
        <w:rPr>
          <w:color w:val="000000" w:themeColor="text1"/>
        </w:rPr>
        <w:br/>
      </w:r>
      <w:r w:rsidRPr="00ED172B">
        <w:rPr>
          <w:color w:val="000000" w:themeColor="text1"/>
        </w:rPr>
        <w:br/>
        <w:t>• Challenging behavior: Practitioners collaborates with caregivers and other professionals to create a contextual and relevant behavior support plan. (DEC F3, F4. previously listed; EI key principle 2-4 listed, 5, 6, 7).</w:t>
      </w:r>
      <w:r w:rsidRPr="00ED172B">
        <w:rPr>
          <w:color w:val="000000" w:themeColor="text1"/>
        </w:rPr>
        <w:br/>
        <w:t>Principle 5. IFSP outcomes must be functional and based on children’s and families’ needs and family-identified priorities.</w:t>
      </w:r>
      <w:r w:rsidRPr="00ED172B">
        <w:rPr>
          <w:color w:val="000000" w:themeColor="text1"/>
        </w:rPr>
        <w:br/>
        <w:t>Principle 6. The family’s priorities, needs and interests are addressed most appropriately by a primary provider who represents and receives team and community support.</w:t>
      </w:r>
      <w:r w:rsidRPr="00ED172B">
        <w:rPr>
          <w:color w:val="000000" w:themeColor="text1"/>
        </w:rPr>
        <w:br/>
        <w:t>Principle 7. Interventions with young children and family members must be based on explicit principles, validated practices, best available research, and relevant laws and regulations.</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bookmarkStart w:id="77" w:name="_Hlk109647049"/>
      <w:r w:rsidRPr="00AB24A4">
        <w:rPr>
          <w:rFonts w:cs="Arial"/>
          <w:b/>
          <w:bCs/>
        </w:rPr>
        <w:t>Provide a summary of each evidence-based practice.</w:t>
      </w:r>
    </w:p>
    <w:bookmarkEnd w:id="77"/>
    <w:p w14:paraId="0AE8C012" w14:textId="0CF0516A" w:rsidR="002679EA" w:rsidRPr="005137B6" w:rsidRDefault="002679EA" w:rsidP="002679EA">
      <w:pPr>
        <w:rPr>
          <w:b/>
          <w:bCs/>
        </w:rPr>
      </w:pPr>
      <w:r w:rsidRPr="00ED172B">
        <w:rPr>
          <w:color w:val="000000" w:themeColor="text1"/>
        </w:rPr>
        <w:t xml:space="preserve">Fiscal Team to submit a proposal for the Governor's Finance Office toward remaining ARP funds that would eventually be legislative approved in October 2020 for funding our new EI Professional Development Center. Further, Human Resources Administration with the State of Nevada provided their expertise in curriculum design including the use of a capstone project to allow Learners an avenue to give back to the EI system, i.e., creating an innovative project that may add value to the EI system. The PD Center is a strategic retention initiative that will be an option for Learners who need a no cost path toward licensure. </w:t>
      </w:r>
      <w:r w:rsidRPr="00ED172B">
        <w:rPr>
          <w:color w:val="000000" w:themeColor="text1"/>
        </w:rPr>
        <w:br/>
      </w:r>
      <w:r w:rsidRPr="00ED172B">
        <w:rPr>
          <w:color w:val="000000" w:themeColor="text1"/>
        </w:rPr>
        <w:br/>
        <w:t xml:space="preserve">DEC RP L9. speaks to our PD workgroup that is endeavoring to remove barriers for professionals to meet their licensure requirements for our DS Series program which will be comparable to certification programs through institutions of higher education. Competencies will be measured through class participation (virtual classroom via Microsoft Teams meetings), reflective journaling, literature reviews and ongoing capstone project work. </w:t>
      </w:r>
      <w:r w:rsidRPr="00ED172B">
        <w:rPr>
          <w:color w:val="000000" w:themeColor="text1"/>
        </w:rPr>
        <w:br/>
      </w:r>
      <w:r w:rsidRPr="00ED172B">
        <w:rPr>
          <w:color w:val="000000" w:themeColor="text1"/>
        </w:rPr>
        <w:br/>
        <w:t>DEC RP L11 reinforces that our Nevada Part C Office's collaborations are going in right direction in that we have collaborated with, as well as sought out feedback from, entities internal and external to Nevada, including the Nevada Department of Education Office of Licensure, institutions of higher education (University of Nevada, Reno and University of Nevada, Las Vegas), Early Childhood Personnel Center, University of Illinois, Early Childhood Technical Assistance Center and WestEd.</w:t>
      </w:r>
      <w:r w:rsidRPr="00ED172B">
        <w:rPr>
          <w:color w:val="000000" w:themeColor="text1"/>
        </w:rPr>
        <w:br/>
      </w:r>
      <w:r w:rsidRPr="00ED172B">
        <w:rPr>
          <w:color w:val="000000" w:themeColor="text1"/>
        </w:rPr>
        <w:br/>
        <w:t>Here below for reference are the summaries for the prior year FFY 2020 SSIP evidence-based practices:</w:t>
      </w:r>
      <w:r w:rsidRPr="00ED172B">
        <w:rPr>
          <w:color w:val="000000" w:themeColor="text1"/>
        </w:rPr>
        <w:br/>
      </w:r>
      <w:r w:rsidRPr="00ED172B">
        <w:rPr>
          <w:color w:val="000000" w:themeColor="text1"/>
        </w:rPr>
        <w:br/>
        <w:t>DEC Recommended practices and Early Intervention Key Principles used in Nevada's Pyramid Model include: Building partnerships with families, SE development, Family-centered coaching, Dyadic relationships and Challenging behavior:</w:t>
      </w:r>
      <w:r w:rsidRPr="00ED172B">
        <w:rPr>
          <w:color w:val="000000" w:themeColor="text1"/>
        </w:rPr>
        <w:br/>
      </w:r>
      <w:r w:rsidRPr="00ED172B">
        <w:rPr>
          <w:color w:val="000000" w:themeColor="text1"/>
        </w:rPr>
        <w:br/>
        <w:t>Examples of how Nevada IFSP teams promote SE outcomes for families with the use of evidence-based practices include:</w:t>
      </w:r>
      <w:r w:rsidRPr="00ED172B">
        <w:rPr>
          <w:color w:val="000000" w:themeColor="text1"/>
        </w:rPr>
        <w:br/>
        <w:t xml:space="preserve"> </w:t>
      </w:r>
      <w:r w:rsidRPr="00ED172B">
        <w:rPr>
          <w:color w:val="000000" w:themeColor="text1"/>
        </w:rPr>
        <w:br/>
        <w:t xml:space="preserve">DEC Recommended Practice Family F 6. Practitioners engage the family in opportunities that support and strengthen parenting knowledge and skills and parenting competence and confidence in ways that are flexible, individualized and tailored to the family’s preferences. </w:t>
      </w:r>
      <w:r w:rsidRPr="00ED172B">
        <w:rPr>
          <w:color w:val="000000" w:themeColor="text1"/>
        </w:rPr>
        <w:br/>
      </w:r>
      <w:r w:rsidRPr="00ED172B">
        <w:rPr>
          <w:color w:val="000000" w:themeColor="text1"/>
        </w:rPr>
        <w:br/>
        <w:t xml:space="preserve"> o Use the caregiver’s preferred language</w:t>
      </w:r>
      <w:r w:rsidRPr="00ED172B">
        <w:rPr>
          <w:color w:val="000000" w:themeColor="text1"/>
        </w:rPr>
        <w:br/>
        <w:t xml:space="preserve"> o Ask caregiver to share information or ideas on which strategies to implement</w:t>
      </w:r>
      <w:r w:rsidRPr="00ED172B">
        <w:rPr>
          <w:color w:val="000000" w:themeColor="text1"/>
        </w:rPr>
        <w:br/>
        <w:t xml:space="preserve"> o Observe and bring attention to child responses or initiations (e.g. facial expressions, eye contact, gestures) to caregiver behaviors during caregiver-child interactions</w:t>
      </w:r>
      <w:r w:rsidRPr="00ED172B">
        <w:rPr>
          <w:color w:val="000000" w:themeColor="text1"/>
        </w:rPr>
        <w:br/>
        <w:t xml:space="preserve"> o Support caregiver in identifying specific routines the caregiver and child already do to practice skills throughout the day</w:t>
      </w:r>
      <w:r w:rsidRPr="00ED172B">
        <w:rPr>
          <w:color w:val="000000" w:themeColor="text1"/>
        </w:rPr>
        <w:br/>
        <w:t xml:space="preserve"> o Model or suggest ways for the caregiver to support the child's communication attempts during caregiver-child interactions</w:t>
      </w:r>
      <w:r w:rsidRPr="00ED172B">
        <w:rPr>
          <w:color w:val="000000" w:themeColor="text1"/>
        </w:rPr>
        <w:br/>
        <w:t xml:space="preserve"> o Provide supportive and specific feedback to caregivers when attempting new strategies to expand on child’s communication</w:t>
      </w:r>
      <w:r w:rsidRPr="00ED172B">
        <w:rPr>
          <w:color w:val="000000" w:themeColor="text1"/>
        </w:rPr>
        <w:br/>
        <w:t xml:space="preserve"> o Affirm caregiver competence and confidence in caregiver-child interactions</w:t>
      </w:r>
      <w:r w:rsidRPr="00ED172B">
        <w:rPr>
          <w:color w:val="000000" w:themeColor="text1"/>
        </w:rPr>
        <w:br/>
      </w:r>
      <w:r w:rsidRPr="00ED172B">
        <w:rPr>
          <w:color w:val="000000" w:themeColor="text1"/>
        </w:rPr>
        <w:br/>
        <w:t>NCPMI Family Centered Coaching: Practitioner engages the caregiver in collaborative problem-solving regarding caregiver child interactions and their child’s social emotional competence; DEC Teaming and Collaboration TC DEC Teaming and Collaboration TC2. Practitioners and families work together systematically and regularly exchange expertise, knowledge and information to build team capacity, and jointly solve problems, plan and implement interventions.</w:t>
      </w:r>
      <w:r w:rsidRPr="00ED172B">
        <w:rPr>
          <w:color w:val="000000" w:themeColor="text1"/>
        </w:rPr>
        <w:br/>
        <w:t xml:space="preserve"> </w:t>
      </w:r>
      <w:r w:rsidRPr="00ED172B">
        <w:rPr>
          <w:color w:val="000000" w:themeColor="text1"/>
        </w:rPr>
        <w:br/>
        <w:t xml:space="preserve"> o Ask reflective questions in response to caregiver comments, questions, or concerns.</w:t>
      </w:r>
      <w:r w:rsidRPr="00ED172B">
        <w:rPr>
          <w:color w:val="000000" w:themeColor="text1"/>
        </w:rPr>
        <w:br/>
        <w:t xml:space="preserve"> o Actively listens to family’s suggestions and offers additional suggestions when appropriate.</w:t>
      </w:r>
      <w:r w:rsidRPr="00ED172B">
        <w:rPr>
          <w:color w:val="000000" w:themeColor="text1"/>
        </w:rPr>
        <w:br/>
      </w:r>
      <w:r w:rsidRPr="00ED172B">
        <w:rPr>
          <w:color w:val="000000" w:themeColor="text1"/>
        </w:rPr>
        <w:br/>
        <w:t>DEC Assessment A3. Practitioners use assessment materials and strategies that are appropriate for the child's age and level of development and accommodate the child's sensory, physical, communication, cultural, linguistic, social and emotional characteristics, and DEC Assessment A8. Practitioners use clinical reasoning in addition to assessment results to identify the child's current level of functioning and to determine the child's eligibility and plan for instruction:</w:t>
      </w:r>
      <w:r w:rsidRPr="00ED172B">
        <w:rPr>
          <w:color w:val="000000" w:themeColor="text1"/>
        </w:rPr>
        <w:br/>
      </w:r>
      <w:r w:rsidRPr="00ED172B">
        <w:rPr>
          <w:color w:val="000000" w:themeColor="text1"/>
        </w:rPr>
        <w:br/>
        <w:t xml:space="preserve"> o Collaborates with the caregiver to create social emotional goals based on the caregiver’s preferences, priorities, and needs.</w:t>
      </w:r>
      <w:r w:rsidRPr="00ED172B">
        <w:rPr>
          <w:color w:val="000000" w:themeColor="text1"/>
        </w:rPr>
        <w:br/>
        <w:t xml:space="preserve"> o Writes goals using language the caregiver can understand.</w:t>
      </w:r>
      <w:r w:rsidRPr="00ED172B">
        <w:rPr>
          <w:color w:val="000000" w:themeColor="text1"/>
        </w:rPr>
        <w:br/>
      </w:r>
      <w:r w:rsidRPr="00ED172B">
        <w:rPr>
          <w:color w:val="000000" w:themeColor="text1"/>
        </w:rPr>
        <w:br/>
        <w:t>By implementing Pyramid Model and selected DEC RPs and EI Key Principles, practitioners will be better able to coach families to respond to their children's social-emotional needs, and families will be better able to support their children's social-emotional development.</w:t>
      </w:r>
      <w:r w:rsidRPr="00ED172B">
        <w:rPr>
          <w:color w:val="000000" w:themeColor="text1"/>
        </w:rPr>
        <w:br/>
        <w:t xml:space="preserve"> </w:t>
      </w:r>
    </w:p>
    <w:p w14:paraId="4B178C88" w14:textId="595701A4" w:rsidR="00AB24A4" w:rsidRPr="00AB24A4" w:rsidRDefault="00AB24A4" w:rsidP="00AB24A4">
      <w:pPr>
        <w:rPr>
          <w:rFonts w:cs="Arial"/>
          <w:b/>
          <w:bCs/>
        </w:rPr>
      </w:pPr>
      <w:r w:rsidRPr="00AB24A4">
        <w:rPr>
          <w:rFonts w:cs="Arial"/>
          <w:b/>
          <w:bCs/>
        </w:rPr>
        <w:t xml:space="preserve"> </w:t>
      </w:r>
    </w:p>
    <w:p w14:paraId="61132AC2" w14:textId="7757BBF4" w:rsidR="00F05ED0" w:rsidRDefault="00B8661E" w:rsidP="00B8661E">
      <w:pPr>
        <w:rPr>
          <w:rFonts w:cs="Arial"/>
          <w:b/>
          <w:bCs/>
        </w:rPr>
      </w:pPr>
      <w:bookmarkStart w:id="78" w:name="_Hlk109647058"/>
      <w:r w:rsidRPr="00B8661E">
        <w:rPr>
          <w:rFonts w:cs="Arial"/>
          <w:b/>
          <w:bCs/>
        </w:rPr>
        <w:t xml:space="preserve">Provide a summary of how each evidence-based practices and activities or strategies that support its use, is intended to impact the </w:t>
      </w:r>
      <w:proofErr w:type="spellStart"/>
      <w:r w:rsidRPr="00B8661E">
        <w:rPr>
          <w:rFonts w:cs="Arial"/>
          <w:b/>
          <w:bCs/>
        </w:rPr>
        <w:t>SiMR</w:t>
      </w:r>
      <w:proofErr w:type="spellEnd"/>
      <w:r w:rsidRPr="00B8661E">
        <w:rPr>
          <w:rFonts w:cs="Arial"/>
          <w:b/>
          <w:bCs/>
        </w:rPr>
        <w:t xml:space="preserve"> by changing program/district policies, procedures, and/or practices, teacher/provider practices (e.g. behaviors), parent/caregiver outcomes, and/or child/outcomes. </w:t>
      </w:r>
    </w:p>
    <w:bookmarkEnd w:id="78"/>
    <w:p w14:paraId="2FC32005" w14:textId="20E8C2E6" w:rsidR="00F05ED0" w:rsidRPr="005137B6" w:rsidRDefault="00F05ED0" w:rsidP="00F05ED0">
      <w:pPr>
        <w:rPr>
          <w:b/>
          <w:bCs/>
        </w:rPr>
      </w:pPr>
      <w:r w:rsidRPr="00ED172B">
        <w:rPr>
          <w:color w:val="000000" w:themeColor="text1"/>
        </w:rPr>
        <w:t xml:space="preserve">The IDEA Part C Office is collaborating with stakeholders to continue providing Leadership for retention initiatives designed to support early interventionist Developmental Specialists (DSs) who would like to remain working in the EI field. Having a diverse, capable and knowledgeable workforce is essential to meet the needs of children with disabilities and their families. Having this workforce that can meet their professional </w:t>
      </w:r>
      <w:r w:rsidRPr="00ED172B">
        <w:rPr>
          <w:color w:val="000000" w:themeColor="text1"/>
        </w:rPr>
        <w:lastRenderedPageBreak/>
        <w:t xml:space="preserve">qualifications will in a huge way promote caseload coverage as personnel are able to serve their caseload of families, support the child’s social emotional development and promote the achievement of the child’s outcomes. </w:t>
      </w:r>
      <w:r w:rsidRPr="00ED172B">
        <w:rPr>
          <w:color w:val="000000" w:themeColor="text1"/>
        </w:rPr>
        <w:br/>
      </w:r>
      <w:r w:rsidRPr="00ED172B">
        <w:rPr>
          <w:color w:val="000000" w:themeColor="text1"/>
        </w:rPr>
        <w:br/>
        <w:t>The summary of information below continues to be applicable for Nevada IDEA Part C:</w:t>
      </w:r>
      <w:r w:rsidRPr="00ED172B">
        <w:rPr>
          <w:color w:val="000000" w:themeColor="text1"/>
        </w:rPr>
        <w:br/>
      </w:r>
      <w:r w:rsidRPr="00ED172B">
        <w:rPr>
          <w:color w:val="000000" w:themeColor="text1"/>
        </w:rPr>
        <w:br/>
        <w:t xml:space="preserve">Nevada Part C will require that all staff complete the upcoming E-modules, which Nevada Part C purchased with ARP funds. Also, the IDEA Part C Office is planning to purchase more SE screeners, ASQ SE, SEAM, Piccolo, DECA; with every program already trained for these, with options for programs to choose the tool that works best with each family. (DEC Recommended Practice Leadership L 10. Leaders ensure practitioners know and follow professional standards and all applicable laws and regulations governing service provision and DEC Recommended Practice Instruction I 13. Practitioners use coaching or consultative strategies with primary caregivers or other adults to facilitate positive adult-child interactions and instruction intentionally designed to promote child learning and development). These practices along with those listed in sections throughout this SSIP/Indicator 11 and related activities support the </w:t>
      </w:r>
      <w:proofErr w:type="spellStart"/>
      <w:r w:rsidRPr="00ED172B">
        <w:rPr>
          <w:color w:val="000000" w:themeColor="text1"/>
        </w:rPr>
        <w:t>SiMR</w:t>
      </w:r>
      <w:proofErr w:type="spellEnd"/>
      <w:r w:rsidRPr="00ED172B">
        <w:rPr>
          <w:color w:val="000000" w:themeColor="text1"/>
        </w:rPr>
        <w:t xml:space="preserve"> by equipping practitioners to be trained on social emotional development within the field of early intervention for children ages birth to 3 years with disabilities and their families, and on using the most appropriate social emotional screening or assessment tool with their families. These efforts will in turn promote practitioner confidence and competence in identifying areas potentially in need of instruction for improvement regarding social emotional development. Therefore, efforts with practitioners growing in their competence </w:t>
      </w:r>
      <w:proofErr w:type="gramStart"/>
      <w:r w:rsidRPr="00ED172B">
        <w:rPr>
          <w:color w:val="000000" w:themeColor="text1"/>
        </w:rPr>
        <w:t>an</w:t>
      </w:r>
      <w:proofErr w:type="gramEnd"/>
      <w:r w:rsidRPr="00ED172B">
        <w:rPr>
          <w:color w:val="000000" w:themeColor="text1"/>
        </w:rPr>
        <w:t xml:space="preserve"> confidence to support families in social emotional development, combined with families growing in their trust in working with their IFSP teams, will move these practices toward fidelity, and will then promote families in achieving their social emotional outcomes. Further, increased statewide results for infants and toddlers making progress in their social emotional development will continue to move the needle forward for Nevada's Early Intervention services system in consistently meeting targets for the State </w:t>
      </w:r>
      <w:proofErr w:type="spellStart"/>
      <w:r w:rsidRPr="00ED172B">
        <w:rPr>
          <w:color w:val="000000" w:themeColor="text1"/>
        </w:rPr>
        <w:t>SiMR</w:t>
      </w:r>
      <w:proofErr w:type="spellEnd"/>
      <w:r w:rsidRPr="00ED172B">
        <w:rPr>
          <w:color w:val="000000" w:themeColor="text1"/>
        </w:rPr>
        <w:t>. And finally, the effective cycle will be expected to successfully and sustainably continue through to 2025 with thoughtful and intentional collaborations occurring from the 'grass tops to grass roots,' i.e., state leadership team levels of support to programs, coaches, practitioners and families with our youngest and most vulnerable population in Nevada.</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bookmarkStart w:id="79" w:name="_Hlk109647063"/>
      <w:r w:rsidRPr="00F008FE">
        <w:rPr>
          <w:rFonts w:cs="Arial"/>
          <w:b/>
          <w:bCs/>
        </w:rPr>
        <w:t xml:space="preserve">Describe the data collected to monitor fidelity of implementation and to assess practice change. </w:t>
      </w:r>
    </w:p>
    <w:bookmarkEnd w:id="79"/>
    <w:p w14:paraId="6371547D" w14:textId="42F6C7DD" w:rsidR="0051509A" w:rsidRPr="005137B6" w:rsidRDefault="0051509A" w:rsidP="0051509A">
      <w:pPr>
        <w:rPr>
          <w:b/>
          <w:bCs/>
        </w:rPr>
      </w:pPr>
      <w:r w:rsidRPr="00ED172B">
        <w:rPr>
          <w:color w:val="000000" w:themeColor="text1"/>
        </w:rPr>
        <w:t xml:space="preserve">Evaluation is in progress </w:t>
      </w:r>
      <w:proofErr w:type="gramStart"/>
      <w:r w:rsidRPr="00ED172B">
        <w:rPr>
          <w:color w:val="000000" w:themeColor="text1"/>
        </w:rPr>
        <w:t>at this time</w:t>
      </w:r>
      <w:proofErr w:type="gramEnd"/>
      <w:r w:rsidRPr="00ED172B">
        <w:rPr>
          <w:color w:val="000000" w:themeColor="text1"/>
        </w:rPr>
        <w:t xml:space="preserve"> following each PD Center class, with an evaluation link for Learners to provide feedback. </w:t>
      </w:r>
      <w:r w:rsidRPr="00ED172B">
        <w:rPr>
          <w:color w:val="000000" w:themeColor="text1"/>
        </w:rPr>
        <w:br/>
        <w:t xml:space="preserve">The IDEA Part C Office is working with </w:t>
      </w:r>
      <w:proofErr w:type="spellStart"/>
      <w:r w:rsidRPr="00ED172B">
        <w:rPr>
          <w:color w:val="000000" w:themeColor="text1"/>
        </w:rPr>
        <w:t>Trifoia</w:t>
      </w:r>
      <w:proofErr w:type="spellEnd"/>
      <w:r w:rsidRPr="00ED172B">
        <w:rPr>
          <w:color w:val="000000" w:themeColor="text1"/>
        </w:rPr>
        <w:t xml:space="preserve">-Pyramid Model Consortium for data collection on the numbers of personnel who have successfully completed the pyramid e-practices knowledge checks and quizzes. </w:t>
      </w:r>
    </w:p>
    <w:p w14:paraId="6003DDF2" w14:textId="77777777" w:rsidR="0051509A" w:rsidRPr="00F008FE" w:rsidRDefault="0051509A" w:rsidP="00F008FE">
      <w:pPr>
        <w:rPr>
          <w:rFonts w:cs="Arial"/>
          <w:b/>
          <w:bCs/>
        </w:rPr>
      </w:pPr>
    </w:p>
    <w:p w14:paraId="44008222" w14:textId="1DDFE8EC" w:rsidR="00F255D2" w:rsidRPr="006A6410" w:rsidRDefault="006A6410" w:rsidP="00F255D2">
      <w:pPr>
        <w:rPr>
          <w:rFonts w:cs="Arial"/>
          <w:b/>
          <w:bCs/>
        </w:rPr>
      </w:pPr>
      <w:bookmarkStart w:id="80" w:name="_Hlk109647068"/>
      <w:r w:rsidRPr="00E30972">
        <w:rPr>
          <w:rFonts w:cs="Arial"/>
          <w:b/>
          <w:bCs/>
        </w:rPr>
        <w:t xml:space="preserve">Describe any additional data (e.g. progress monitoring) that was collected that supports the decision to continue the ongoing use of each evidence-based practice. </w:t>
      </w:r>
    </w:p>
    <w:bookmarkEnd w:id="80"/>
    <w:p w14:paraId="007AE64F" w14:textId="127A4D0F" w:rsidR="00107600" w:rsidRPr="005137B6" w:rsidRDefault="00107600" w:rsidP="00107600">
      <w:pPr>
        <w:rPr>
          <w:b/>
          <w:bCs/>
        </w:rPr>
      </w:pPr>
      <w:r w:rsidRPr="00ED172B">
        <w:rPr>
          <w:color w:val="000000" w:themeColor="text1"/>
        </w:rPr>
        <w:t xml:space="preserve">Progress monitoring is available as mentioned above for feedback evaluations, checks and to provide support as needed. </w:t>
      </w:r>
    </w:p>
    <w:p w14:paraId="72F94657" w14:textId="77777777" w:rsidR="00107600" w:rsidRDefault="00107600" w:rsidP="00F255D2">
      <w:pPr>
        <w:rPr>
          <w:rFonts w:cs="Arial"/>
          <w:b/>
          <w:bCs/>
        </w:rPr>
      </w:pPr>
    </w:p>
    <w:p w14:paraId="52E9D5CB" w14:textId="51235CAD" w:rsidR="006A6410" w:rsidRDefault="006A6410" w:rsidP="00064BA4">
      <w:pPr>
        <w:rPr>
          <w:rFonts w:cs="Arial"/>
          <w:b/>
          <w:bCs/>
        </w:rPr>
      </w:pPr>
      <w:bookmarkStart w:id="81" w:name="_Hlk109647074"/>
      <w:r w:rsidRPr="006A6410">
        <w:rPr>
          <w:rFonts w:cs="Arial"/>
          <w:b/>
          <w:bCs/>
        </w:rPr>
        <w:t xml:space="preserve">Provide a summary of the next steps for each evidence-based practices and the anticipated outcomes to be attained during the next reporting period. </w:t>
      </w:r>
    </w:p>
    <w:bookmarkEnd w:id="81"/>
    <w:p w14:paraId="5FC33224" w14:textId="66099ED0" w:rsidR="00026ADD" w:rsidRPr="005137B6" w:rsidRDefault="00026ADD" w:rsidP="00026ADD">
      <w:pPr>
        <w:rPr>
          <w:b/>
          <w:bCs/>
        </w:rPr>
      </w:pPr>
      <w:r w:rsidRPr="00ED172B">
        <w:rPr>
          <w:color w:val="000000" w:themeColor="text1"/>
        </w:rPr>
        <w:t>Next steps described above:</w:t>
      </w:r>
      <w:r w:rsidRPr="00ED172B">
        <w:rPr>
          <w:color w:val="000000" w:themeColor="text1"/>
        </w:rPr>
        <w:br/>
        <w:t>Continued SLT action planning approximately 3 times a year.</w:t>
      </w:r>
      <w:r w:rsidRPr="00ED172B">
        <w:rPr>
          <w:color w:val="000000" w:themeColor="text1"/>
        </w:rPr>
        <w:br/>
        <w:t>Continue pyramid practice e-modules access for all EI personnel.</w:t>
      </w:r>
      <w:r w:rsidRPr="00ED172B">
        <w:rPr>
          <w:color w:val="000000" w:themeColor="text1"/>
        </w:rPr>
        <w:br/>
        <w:t xml:space="preserve">Continued PD courses to bolster EI workforce retention for Developmental Specialists, with more course options for additional disciplines. </w:t>
      </w:r>
      <w:r w:rsidRPr="00ED172B">
        <w:rPr>
          <w:color w:val="000000" w:themeColor="text1"/>
        </w:rPr>
        <w:br/>
        <w:t>Continued early childhood mental health trainings and certifications. within Nevada programs.</w:t>
      </w:r>
    </w:p>
    <w:p w14:paraId="20BF17A9" w14:textId="77777777" w:rsidR="00026ADD" w:rsidRDefault="00026ADD" w:rsidP="00064BA4">
      <w:pPr>
        <w:rPr>
          <w:rFonts w:cs="Arial"/>
          <w:b/>
          <w:bCs/>
        </w:rPr>
      </w:pPr>
      <w:bookmarkStart w:id="82" w:name="_Hlk109647080"/>
    </w:p>
    <w:bookmarkEnd w:id="82"/>
    <w:p w14:paraId="0218F587"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01CB62A6" w14:textId="77248C90" w:rsidR="00540BB9" w:rsidRDefault="00540BB9" w:rsidP="00253D4F">
      <w:r w:rsidRPr="00781112">
        <w:t>YES</w:t>
      </w:r>
    </w:p>
    <w:p w14:paraId="4FB94A40" w14:textId="77777777" w:rsidR="00253D4F" w:rsidRPr="006A3544" w:rsidRDefault="00253D4F" w:rsidP="00253D4F">
      <w:pPr>
        <w:rPr>
          <w:b/>
          <w:bCs/>
          <w:szCs w:val="16"/>
        </w:rPr>
      </w:pPr>
      <w:r w:rsidRPr="006A3544">
        <w:rPr>
          <w:b/>
          <w:bCs/>
          <w:szCs w:val="16"/>
        </w:rPr>
        <w:t>If yes, describe how evaluation data support the decision to implement without any modifications to the SSIP.</w:t>
      </w:r>
    </w:p>
    <w:p w14:paraId="7EED6261" w14:textId="35D542AA" w:rsidR="00540BB9" w:rsidRDefault="00540BB9" w:rsidP="00540BB9">
      <w:r w:rsidRPr="00781112">
        <w:t xml:space="preserve">Data within the new PD Center reflects that approximately 65 professional EI Learners have opted to complete their coursework at no cost to them </w:t>
      </w:r>
      <w:proofErr w:type="gramStart"/>
      <w:r w:rsidRPr="00781112">
        <w:t>in order to</w:t>
      </w:r>
      <w:proofErr w:type="gramEnd"/>
      <w:r w:rsidRPr="00781112">
        <w:t xml:space="preserve"> maintain their positions. During 2021-2022, there were 160 Developmental Specialist/Service Coordinators, and 16 (10%) had resigned. The PD Center retention initiative, in helping 65 DSs (40% of 2021-2022 count of DS personnel) is helping an estimated 40% of the DS workforce.</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4585765C" w14:textId="77777777" w:rsidR="00436802" w:rsidRDefault="00436802" w:rsidP="00436802">
      <w:pPr>
        <w:rPr>
          <w:color w:val="000000" w:themeColor="text1"/>
        </w:rPr>
      </w:pPr>
      <w:r w:rsidRPr="00ED172B">
        <w:rPr>
          <w:color w:val="000000" w:themeColor="text1"/>
        </w:rPr>
        <w:t xml:space="preserve">Nevada’s performance status is reported numerically and by percentage for each indicator compared to established and re-established targets. Stakeholders last updated targets for the FFY 2020 annual performance report. The ICC began review of the FFY 2022 SPP/APR during the January 2024 quarterly meeting. </w:t>
      </w:r>
      <w:r w:rsidRPr="00ED172B">
        <w:rPr>
          <w:color w:val="000000" w:themeColor="text1"/>
        </w:rPr>
        <w:br/>
      </w:r>
      <w:r w:rsidRPr="00ED172B">
        <w:rPr>
          <w:color w:val="000000" w:themeColor="text1"/>
        </w:rPr>
        <w:br/>
        <w:t>Throughout the course of FFY 2022, the IDEA Part C Office presented data and other key early intervention (EI) system information, as well as gained feedback and advising from the following groups: the Department of Health and Human Services (DHHS) Administration, DHHS Aging and Disabilities Services Division (ADSD), ADSD Quality Assurance for Children’s Services, Nevada’s Interagency Coordinating Council (ICC) including ICC Subcommittees, state EI and community partner EI programs, federal, state, and local community agencies (i.e. United States Air Force base representative for the military community stationed in Southern Nevada); Medicaid and Health Care Finance Policy representative; northern region early childhood mental health program representative), the Nevada System of Higher Education, Nevada Department of Education Part B/619, inter-tribal liaisons, family and legal advocacy groups, and the legislative counsel bureau (LCB).</w:t>
      </w:r>
      <w:r w:rsidRPr="00ED172B">
        <w:rPr>
          <w:color w:val="000000" w:themeColor="text1"/>
        </w:rPr>
        <w:br/>
      </w:r>
      <w:r w:rsidRPr="00ED172B">
        <w:rPr>
          <w:color w:val="000000" w:themeColor="text1"/>
        </w:rPr>
        <w:br/>
        <w:t>Key stakeholder involvement activities included:</w:t>
      </w:r>
      <w:r w:rsidRPr="00ED172B">
        <w:rPr>
          <w:color w:val="000000" w:themeColor="text1"/>
        </w:rPr>
        <w:br/>
      </w:r>
      <w:r w:rsidRPr="00ED172B">
        <w:rPr>
          <w:color w:val="000000" w:themeColor="text1"/>
        </w:rPr>
        <w:br/>
        <w:t xml:space="preserve">• ICC Meetings are scheduled to occur on a quarterly basis, most frequently having occurred via videoconference across the State’s southern, northwest and northeast regions. During October 2023, an in person, 2-day ICC retreat took place in Reno, Nevada in the first face to face meeting since the March 2022 COVID-19 pandemic. ICC meetings follow Nevada’s Open Meeting Law, and include review of minutes, community program or agency presentations/trainings, Part C EI system updates and data reports including any formal complaints, subcommittee reports, and strategic planning to improve Nevada’s system and to promote improved outcomes for families with infants and toddlers with disabilities. Quarterly meetings typically occur during the months of July, October, January and April. If quorum is not met, the ICC will inquire among the ICC members for availability to meet again within the same month or next month. ICC meetings that successfully met quorum within the last year occurred during January and October 2023. ICC Equity Subcommittee meetings did not meet quorum during 2023 and the ICC is considering recruiting for more members. </w:t>
      </w:r>
      <w:r w:rsidRPr="00ED172B">
        <w:rPr>
          <w:color w:val="000000" w:themeColor="text1"/>
        </w:rPr>
        <w:br/>
      </w:r>
      <w:r w:rsidRPr="00ED172B">
        <w:rPr>
          <w:color w:val="000000" w:themeColor="text1"/>
        </w:rPr>
        <w:br/>
      </w:r>
      <w:r w:rsidRPr="00ED172B">
        <w:rPr>
          <w:color w:val="000000" w:themeColor="text1"/>
        </w:rPr>
        <w:lastRenderedPageBreak/>
        <w:t xml:space="preserve">• Stakeholder support and feedback occurred during the meetings for the Part C pyramid model/social emotional project, such as monthly State Leadership Team meetings with stakeholders, statewide pyramid project Coaching Call meetings, and statewide pyramid project Data Team meetings. </w:t>
      </w:r>
      <w:r w:rsidRPr="00ED172B">
        <w:rPr>
          <w:color w:val="000000" w:themeColor="text1"/>
        </w:rPr>
        <w:br/>
      </w:r>
      <w:r w:rsidRPr="00ED172B">
        <w:rPr>
          <w:color w:val="000000" w:themeColor="text1"/>
        </w:rPr>
        <w:br/>
        <w:t xml:space="preserve">• The Pyramid Model State Leadership Team (SLT) meets regularly to support statewide Early Intervention efforts to promote social emotional development. The SLT is comprised of IDEA Part C staff, EI program leaders from both the public and private sectors, Quality Assurance staff, and family advocacy personnel. </w:t>
      </w:r>
      <w:r w:rsidRPr="00ED172B">
        <w:rPr>
          <w:color w:val="000000" w:themeColor="text1"/>
        </w:rPr>
        <w:br/>
      </w:r>
      <w:r w:rsidRPr="00ED172B">
        <w:rPr>
          <w:color w:val="000000" w:themeColor="text1"/>
        </w:rPr>
        <w:br/>
        <w:t xml:space="preserve">• As shared in the previous FFY2021 APR/SPP, target setting stakeholder meetings occurred during October 2021 with the ICC and November 2021 with public stakeholders. Additional target setting and SPP/APR review occurred with the ICC during January 11, 2022, and January 27, 2022, with a review of all indicators and targets as well as proposed targets for the next 5 years. Stakeholder feedback included suggestions to increase targets to reflect more rigorous expectations, especially for Indicator 3 A1 on Child Outcomes </w:t>
      </w:r>
      <w:proofErr w:type="gramStart"/>
      <w:r w:rsidRPr="00ED172B">
        <w:rPr>
          <w:color w:val="000000" w:themeColor="text1"/>
        </w:rPr>
        <w:t>with regard to</w:t>
      </w:r>
      <w:proofErr w:type="gramEnd"/>
      <w:r w:rsidRPr="00ED172B">
        <w:rPr>
          <w:color w:val="000000" w:themeColor="text1"/>
        </w:rPr>
        <w:t xml:space="preserve"> progress in Social Emotional development, as this is the indicator for Nevada's State-identified measurable result (</w:t>
      </w:r>
      <w:proofErr w:type="spellStart"/>
      <w:r w:rsidRPr="00ED172B">
        <w:rPr>
          <w:color w:val="000000" w:themeColor="text1"/>
        </w:rPr>
        <w:t>SiMR</w:t>
      </w:r>
      <w:proofErr w:type="spellEnd"/>
      <w:r w:rsidRPr="00ED172B">
        <w:rPr>
          <w:color w:val="000000" w:themeColor="text1"/>
        </w:rPr>
        <w:t xml:space="preserve">). The stakeholder feedback regarding increasing the target for Indicator 3 A1 stemmed from the State meeting the target with no slippage for Indicator 3 A1. The ICC and the IDEA Part C Office decided to keep the proposed target setting within the percentage according to the meaningful differences calculator since the State showed a significant improvement for just one year, which was for the SSP/APR FFY 2020 reporting period. </w:t>
      </w:r>
      <w:r w:rsidRPr="00ED172B">
        <w:rPr>
          <w:color w:val="000000" w:themeColor="text1"/>
        </w:rPr>
        <w:br/>
      </w:r>
      <w:r w:rsidRPr="00ED172B">
        <w:rPr>
          <w:color w:val="000000" w:themeColor="text1"/>
        </w:rPr>
        <w:br/>
        <w:t xml:space="preserve">• On January 29th, 2024, the ICC voted unanimously to approve the current FFY 2022 SPP/APR submission due February 1st, </w:t>
      </w:r>
      <w:proofErr w:type="gramStart"/>
      <w:r w:rsidRPr="00ED172B">
        <w:rPr>
          <w:color w:val="000000" w:themeColor="text1"/>
        </w:rPr>
        <w:t>2024</w:t>
      </w:r>
      <w:proofErr w:type="gramEnd"/>
      <w:r w:rsidRPr="00ED172B">
        <w:rPr>
          <w:color w:val="000000" w:themeColor="text1"/>
        </w:rPr>
        <w:t xml:space="preserve"> to OSEP.</w:t>
      </w:r>
      <w:r w:rsidRPr="00ED172B">
        <w:rPr>
          <w:color w:val="000000" w:themeColor="text1"/>
        </w:rPr>
        <w:br/>
      </w:r>
      <w:r w:rsidRPr="00ED172B">
        <w:rPr>
          <w:color w:val="000000" w:themeColor="text1"/>
        </w:rPr>
        <w:br/>
        <w:t xml:space="preserve">The IDEA Part C Office is grateful for this past year's increased stakeholder engagement for SPP/APR reporting and overall advising for Nevada's Early Intervention Services system. </w:t>
      </w:r>
    </w:p>
    <w:p w14:paraId="10DD8D81" w14:textId="77777777" w:rsidR="00436802" w:rsidRPr="00ED172B" w:rsidRDefault="00436802" w:rsidP="00436802">
      <w:pPr>
        <w:pStyle w:val="Bold"/>
        <w:rPr>
          <w:b w:val="0"/>
          <w:color w:val="000000" w:themeColor="text1"/>
        </w:rPr>
      </w:pP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bookmarkStart w:id="83" w:name="_Hlk109647088"/>
      <w:r w:rsidRPr="000F3CCC">
        <w:rPr>
          <w:rFonts w:cs="Arial"/>
          <w:b/>
          <w:bCs/>
        </w:rPr>
        <w:t xml:space="preserve">Describe the specific strategies implemented to engage stakeholders in key improvement efforts. </w:t>
      </w:r>
    </w:p>
    <w:bookmarkEnd w:id="83"/>
    <w:p w14:paraId="7A97D15A" w14:textId="346F07A8" w:rsidR="00D96943" w:rsidRPr="00B50A83" w:rsidRDefault="00D96943" w:rsidP="00D96943">
      <w:pPr>
        <w:rPr>
          <w:b/>
          <w:bCs/>
        </w:rPr>
      </w:pPr>
      <w:r w:rsidRPr="00ED172B">
        <w:rPr>
          <w:color w:val="000000" w:themeColor="text1"/>
        </w:rPr>
        <w:t>Continued PD Workgroup meetings and work with the ICC re:</w:t>
      </w:r>
      <w:r w:rsidRPr="00ED172B">
        <w:rPr>
          <w:color w:val="000000" w:themeColor="text1"/>
        </w:rPr>
        <w:br/>
      </w:r>
      <w:r w:rsidRPr="00ED172B">
        <w:rPr>
          <w:color w:val="000000" w:themeColor="text1"/>
        </w:rPr>
        <w:br/>
        <w:t>Continued SLT action planning approximately 3 times a year.</w:t>
      </w:r>
      <w:r w:rsidRPr="00ED172B">
        <w:rPr>
          <w:color w:val="000000" w:themeColor="text1"/>
        </w:rPr>
        <w:br/>
        <w:t>Continue pyramid practice e-modules access for all EI personnel.</w:t>
      </w:r>
      <w:r w:rsidRPr="00ED172B">
        <w:rPr>
          <w:color w:val="000000" w:themeColor="text1"/>
        </w:rPr>
        <w:br/>
        <w:t xml:space="preserve">Continued PD courses to bolster EI workforce retention for Developmental Specialists, with more course options for additional disciplines. </w:t>
      </w:r>
      <w:r w:rsidRPr="00ED172B">
        <w:rPr>
          <w:color w:val="000000" w:themeColor="text1"/>
        </w:rPr>
        <w:br/>
        <w:t>Continued early childhood mental health trainings and certifications. within Nevada programs.</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bookmarkStart w:id="84"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4"/>
    <w:p w14:paraId="6ABDC33E" w14:textId="3149C6FF" w:rsidR="00DA6A6C" w:rsidRPr="000420BE" w:rsidRDefault="000420BE" w:rsidP="00DA6A6C">
      <w:pPr>
        <w:rPr>
          <w:b/>
          <w:bCs/>
        </w:rPr>
      </w:pPr>
      <w:r w:rsidRPr="00ED172B">
        <w:rPr>
          <w:color w:val="000000" w:themeColor="text1"/>
        </w:rPr>
        <w:t>NO</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bookmarkStart w:id="85" w:name="_Hlk109647117"/>
      <w:r w:rsidRPr="00F85A5B">
        <w:rPr>
          <w:b/>
          <w:bCs/>
        </w:rPr>
        <w:t xml:space="preserve">List any activities not already described that the State intends to implement in the next fiscal year that are related to the </w:t>
      </w:r>
      <w:proofErr w:type="spellStart"/>
      <w:r w:rsidRPr="00F85A5B">
        <w:rPr>
          <w:b/>
          <w:bCs/>
        </w:rPr>
        <w:t>SiMR</w:t>
      </w:r>
      <w:proofErr w:type="spellEnd"/>
      <w:r w:rsidRPr="00F85A5B">
        <w:rPr>
          <w:b/>
          <w:bCs/>
        </w:rPr>
        <w:t>.</w:t>
      </w:r>
    </w:p>
    <w:bookmarkEnd w:id="85"/>
    <w:p w14:paraId="54FDC4CC" w14:textId="4E342817" w:rsidR="00917FC3" w:rsidRPr="00F85A5B" w:rsidRDefault="00917FC3" w:rsidP="004E393A">
      <w:pPr>
        <w:rPr>
          <w:color w:val="000000" w:themeColor="text1"/>
        </w:rPr>
      </w:pPr>
      <w:r w:rsidRPr="00ED172B">
        <w:rPr>
          <w:color w:val="000000" w:themeColor="text1"/>
        </w:rPr>
        <w:t>N/A</w:t>
      </w:r>
    </w:p>
    <w:p w14:paraId="7E4D8D02" w14:textId="77777777" w:rsidR="00297898" w:rsidRPr="00297898" w:rsidRDefault="00297898" w:rsidP="00297898">
      <w:pPr>
        <w:rPr>
          <w:rFonts w:cs="Arial"/>
          <w:b/>
          <w:bCs/>
        </w:rPr>
      </w:pPr>
      <w:bookmarkStart w:id="86" w:name="_Hlk109647119"/>
      <w:r w:rsidRPr="00297898">
        <w:rPr>
          <w:rFonts w:cs="Arial"/>
          <w:b/>
          <w:bCs/>
        </w:rPr>
        <w:t xml:space="preserve">Provide a timeline, anticipated data collection and measures, and expected outcomes for these activities that are related to the </w:t>
      </w:r>
      <w:proofErr w:type="spellStart"/>
      <w:r w:rsidRPr="00297898">
        <w:rPr>
          <w:rFonts w:cs="Arial"/>
          <w:b/>
          <w:bCs/>
        </w:rPr>
        <w:t>SiMR</w:t>
      </w:r>
      <w:proofErr w:type="spellEnd"/>
      <w:r w:rsidRPr="00297898">
        <w:rPr>
          <w:rFonts w:cs="Arial"/>
          <w:b/>
          <w:bCs/>
        </w:rPr>
        <w:t xml:space="preserve">. </w:t>
      </w:r>
    </w:p>
    <w:bookmarkEnd w:id="86"/>
    <w:p w14:paraId="08124F49" w14:textId="4CDFC9D0" w:rsidR="006237B0" w:rsidRDefault="007B151D" w:rsidP="00067F9F">
      <w:pPr>
        <w:spacing w:before="0" w:after="0"/>
        <w:rPr>
          <w:color w:val="000000" w:themeColor="text1"/>
        </w:rPr>
      </w:pPr>
      <w:r w:rsidRPr="00ED172B">
        <w:rPr>
          <w:color w:val="000000" w:themeColor="text1"/>
        </w:rPr>
        <w:t>FFY 2023 will be the next reporting period.</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bookmarkStart w:id="87" w:name="_Hlk109647121"/>
      <w:r w:rsidRPr="009E0726">
        <w:rPr>
          <w:rFonts w:cs="Arial"/>
          <w:b/>
          <w:bCs/>
        </w:rPr>
        <w:t>Describe any newly identified barriers and include steps to address these barriers.</w:t>
      </w:r>
    </w:p>
    <w:bookmarkEnd w:id="87"/>
    <w:p w14:paraId="6E8B2008" w14:textId="0F892B41" w:rsidR="00F40121" w:rsidRDefault="00F40121" w:rsidP="00F40121">
      <w:pPr>
        <w:rPr>
          <w:color w:val="000000" w:themeColor="text1"/>
        </w:rPr>
      </w:pPr>
      <w:r w:rsidRPr="00ED172B">
        <w:rPr>
          <w:color w:val="000000" w:themeColor="text1"/>
        </w:rPr>
        <w:t>Barriers continue to include critical personnel shortages which are being addressed and mitigated through ongoing retention initiatives as described above.</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bookmarkStart w:id="88" w:name="_Hlk109647123"/>
      <w:r w:rsidRPr="00261010">
        <w:rPr>
          <w:rFonts w:cs="Arial"/>
          <w:b/>
          <w:bCs/>
        </w:rPr>
        <w:t>Provide additional information about this indicator (optional).</w:t>
      </w:r>
    </w:p>
    <w:bookmarkEnd w:id="88"/>
    <w:p w14:paraId="58D41C9E" w14:textId="2B949EC4" w:rsidR="00F40121" w:rsidRDefault="00F40121" w:rsidP="00F40121">
      <w:pPr>
        <w:rPr>
          <w:color w:val="000000" w:themeColor="text1"/>
        </w:rPr>
      </w:pPr>
      <w:r w:rsidRPr="00ED172B">
        <w:rPr>
          <w:color w:val="000000" w:themeColor="text1"/>
        </w:rPr>
        <w:t>N/A</w:t>
      </w: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None</w:t>
      </w:r>
    </w:p>
    <w:p w14:paraId="68A5FD13" w14:textId="2BE41878" w:rsidR="00F5460E" w:rsidRPr="00A40EE1" w:rsidRDefault="00F5460E" w:rsidP="00F5460E">
      <w:pPr>
        <w:pStyle w:val="Heading2"/>
      </w:pPr>
      <w:r w:rsidRPr="00A40EE1">
        <w:t>1</w:t>
      </w:r>
      <w:r w:rsidR="001C46CD">
        <w:t>1</w:t>
      </w:r>
      <w:r w:rsidRPr="00A40EE1">
        <w:t xml:space="preserve"> - OSEP Response</w:t>
      </w:r>
    </w:p>
    <w:p w14:paraId="42EAAED9" w14:textId="7B889C41" w:rsidR="00F5460E" w:rsidRPr="00ED172B" w:rsidRDefault="00F5460E" w:rsidP="00F5460E">
      <w:pPr>
        <w:rPr>
          <w:color w:val="000000" w:themeColor="text1"/>
        </w:rPr>
      </w:pP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p>
    <w:p w14:paraId="37B492A8" w14:textId="5F272293" w:rsidR="00621DEC" w:rsidRDefault="00621DEC" w:rsidP="00F85A5B">
      <w:pPr>
        <w:pStyle w:val="Heading2"/>
        <w:rPr>
          <w:color w:val="000000" w:themeColor="text1"/>
          <w:sz w:val="22"/>
          <w:szCs w:val="28"/>
        </w:rPr>
      </w:pPr>
      <w:r>
        <w:rPr>
          <w:color w:val="000000" w:themeColor="text1"/>
        </w:rPr>
        <w:br w:type="page"/>
      </w:r>
    </w:p>
    <w:p w14:paraId="76BEC9D6" w14:textId="69F0031E" w:rsidR="00D77E41" w:rsidRPr="00ED172B" w:rsidRDefault="00D77E41" w:rsidP="00D77E41">
      <w:pPr>
        <w:pStyle w:val="Heading1"/>
        <w:rPr>
          <w:color w:val="000000" w:themeColor="text1"/>
        </w:rPr>
      </w:pPr>
      <w:r w:rsidRPr="00ED172B">
        <w:rPr>
          <w:color w:val="000000" w:themeColor="text1"/>
        </w:rPr>
        <w:lastRenderedPageBreak/>
        <w:t>Certification</w:t>
      </w:r>
    </w:p>
    <w:p w14:paraId="10520843" w14:textId="77777777" w:rsidR="00D77E41" w:rsidRPr="00ED172B" w:rsidRDefault="00D77E41" w:rsidP="00186420">
      <w:pPr>
        <w:rPr>
          <w:color w:val="000000" w:themeColor="text1"/>
        </w:rPr>
      </w:pPr>
      <w:r w:rsidRPr="00ED172B">
        <w:rPr>
          <w:b/>
          <w:color w:val="000000" w:themeColor="text1"/>
          <w:sz w:val="20"/>
          <w:szCs w:val="20"/>
        </w:rPr>
        <w:t>Instructions</w:t>
      </w:r>
    </w:p>
    <w:p w14:paraId="3613AD02" w14:textId="11E354F6"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2BE1082F" w14:textId="77777777" w:rsidR="00D77E41" w:rsidRPr="00ED172B" w:rsidRDefault="00D77E41" w:rsidP="00D77E41">
      <w:pPr>
        <w:rPr>
          <w:b/>
          <w:color w:val="000000" w:themeColor="text1"/>
        </w:rPr>
      </w:pPr>
      <w:r w:rsidRPr="00ED172B">
        <w:rPr>
          <w:b/>
          <w:color w:val="000000" w:themeColor="text1"/>
        </w:rPr>
        <w:t>Certify</w:t>
      </w:r>
    </w:p>
    <w:p w14:paraId="26D9ED5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09D4042A"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1FBD425" w14:textId="593F2D58"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Designated Lead Agency Director</w:t>
      </w:r>
    </w:p>
    <w:p w14:paraId="43D7F85B" w14:textId="7316ED68"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36D2D64A"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4F5F890F" w14:textId="67BB69D9"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Lori Ann Malina-Lovell</w:t>
      </w:r>
    </w:p>
    <w:p w14:paraId="5F5311B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7D7540F" w14:textId="1BD8A4B8"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Clinical Program Planner I/Part C Coordinator</w:t>
      </w:r>
    </w:p>
    <w:p w14:paraId="7E4BD4E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1D2DA4D" w14:textId="6133D61F"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lamalinalovell@dhhs.nv.gov</w:t>
      </w:r>
    </w:p>
    <w:p w14:paraId="0B3F265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4532CFC2" w14:textId="1CAA54B5"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(775) 895-5268</w:t>
      </w:r>
      <w:bookmarkEnd w:id="62"/>
    </w:p>
    <w:p w14:paraId="4424A936" w14:textId="491BEDEB"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4D7C4705" w14:textId="493C20F5" w:rsidR="00FD047C" w:rsidRDefault="00FD047C" w:rsidP="00FD047C">
      <w:pPr>
        <w:autoSpaceDE w:val="0"/>
        <w:autoSpaceDN w:val="0"/>
        <w:adjustRightInd w:val="0"/>
        <w:rPr>
          <w:rFonts w:cs="Arial"/>
          <w:bCs/>
          <w:color w:val="000000" w:themeColor="text1"/>
          <w:szCs w:val="16"/>
        </w:rPr>
      </w:pPr>
      <w:r w:rsidRPr="00ED172B">
        <w:rPr>
          <w:rFonts w:cs="Arial"/>
          <w:bCs/>
          <w:color w:val="000000" w:themeColor="text1"/>
          <w:szCs w:val="16"/>
        </w:rPr>
        <w:t>04/23/</w:t>
      </w:r>
      <w:proofErr w:type="gramStart"/>
      <w:r w:rsidRPr="00ED172B">
        <w:rPr>
          <w:rFonts w:cs="Arial"/>
          <w:bCs/>
          <w:color w:val="000000" w:themeColor="text1"/>
          <w:szCs w:val="16"/>
        </w:rPr>
        <w:t>24  8:31:01</w:t>
      </w:r>
      <w:proofErr w:type="gramEnd"/>
      <w:r w:rsidRPr="00ED172B">
        <w:rPr>
          <w:rFonts w:cs="Arial"/>
          <w:bCs/>
          <w:color w:val="000000" w:themeColor="text1"/>
          <w:szCs w:val="16"/>
        </w:rPr>
        <w:t xml:space="preserve"> PM</w:t>
      </w:r>
    </w:p>
    <w:p w14:paraId="1B762252" w14:textId="78A74289"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4E835CB1" w14:textId="2655EDF5" w:rsidR="000135C2" w:rsidRPr="000135C2" w:rsidRDefault="000135C2" w:rsidP="000135C2">
      <w:pPr>
        <w:pStyle w:val="Heading1"/>
        <w:rPr>
          <w:color w:val="000000" w:themeColor="text1"/>
        </w:rPr>
      </w:pPr>
      <w:r w:rsidRPr="000135C2">
        <w:rPr>
          <w:color w:val="000000" w:themeColor="text1"/>
        </w:rPr>
        <w:lastRenderedPageBreak/>
        <w:t>Determination Enclosures</w:t>
      </w:r>
    </w:p>
    <w:p w14:paraId="2087E2B2" w14:textId="2B2050DE" w:rsidR="00BD55C7" w:rsidRPr="0035538B" w:rsidRDefault="000135C2" w:rsidP="00A255FA">
      <w:pPr>
        <w:pStyle w:val="Heading2"/>
      </w:pPr>
      <w:r w:rsidRPr="000135C2">
        <w:t>RDA Matrix</w:t>
      </w:r>
    </w:p>
    <w:p w14:paraId="696C928A" w14:textId="77777777" w:rsidR="00A255FA" w:rsidRPr="000D7F9F" w:rsidRDefault="00A255FA" w:rsidP="000D7F9F">
      <w:pPr>
        <w:rPr>
          <w:b/>
          <w:bCs/>
          <w:sz w:val="18"/>
          <w:szCs w:val="18"/>
        </w:rPr>
      </w:pPr>
    </w:p>
    <w:p w14:paraId="0A547133" w14:textId="04FDD654" w:rsidR="00A14B29" w:rsidRPr="0035538B" w:rsidRDefault="00A255FA" w:rsidP="00A255FA">
      <w:pPr>
        <w:jc w:val="center"/>
        <w:rPr>
          <w:b/>
          <w:bCs/>
          <w:sz w:val="32"/>
          <w:szCs w:val="32"/>
        </w:rPr>
      </w:pPr>
      <w:r w:rsidRPr="0035538B">
        <w:rPr>
          <w:b/>
          <w:bCs/>
          <w:sz w:val="32"/>
          <w:szCs w:val="32"/>
        </w:rPr>
        <w:t>Nevada</w:t>
      </w:r>
    </w:p>
    <w:p w14:paraId="4DD0EA3B" w14:textId="4D7C4353" w:rsidR="000135C2" w:rsidRPr="00824D00" w:rsidRDefault="000135C2" w:rsidP="000135C2">
      <w:pPr>
        <w:jc w:val="center"/>
        <w:rPr>
          <w:sz w:val="32"/>
          <w:szCs w:val="32"/>
        </w:rPr>
      </w:pPr>
      <w:r w:rsidRPr="00824D00">
        <w:rPr>
          <w:sz w:val="32"/>
          <w:szCs w:val="32"/>
        </w:rPr>
        <w:t>2024 Part C Results-Driven Accountability Matrix</w:t>
      </w:r>
    </w:p>
    <w:p w14:paraId="62B6A556" w14:textId="24D69987" w:rsidR="000135C2" w:rsidRPr="00210AC6" w:rsidRDefault="000135C2" w:rsidP="000135C2">
      <w:pPr>
        <w:rPr>
          <w:rFonts w:cs="Arial"/>
          <w:b/>
          <w:bCs/>
          <w:szCs w:val="16"/>
        </w:rPr>
      </w:pPr>
      <w:r w:rsidRPr="00210AC6">
        <w:rPr>
          <w:rFonts w:cs="Arial"/>
          <w:b/>
          <w:bCs/>
          <w:szCs w:val="16"/>
        </w:rPr>
        <w:t xml:space="preserve">Results-Driven Accountability Percentage and Determination </w:t>
      </w:r>
      <w:r w:rsidR="00976350" w:rsidRPr="00976350">
        <w:rPr>
          <w:rFonts w:cs="Arial"/>
          <w:szCs w:val="16"/>
        </w:rPr>
        <w:t>(1)</w:t>
      </w:r>
    </w:p>
    <w:tbl>
      <w:tblPr>
        <w:tblStyle w:val="TableGrid1"/>
        <w:tblW w:w="5009" w:type="pct"/>
        <w:tblLook w:val="04A0" w:firstRow="1" w:lastRow="0" w:firstColumn="1" w:lastColumn="0" w:noHBand="0" w:noVBand="1"/>
        <w:tblCaption w:val="CENNSRSTRDACFFYSTAT"/>
      </w:tblPr>
      <w:tblGrid>
        <w:gridCol w:w="5404"/>
        <w:gridCol w:w="5405"/>
      </w:tblGrid>
      <w:tr w:rsidR="000135C2" w:rsidRPr="00210AC6" w14:paraId="250D2641" w14:textId="77777777" w:rsidTr="00C452AB">
        <w:trPr>
          <w:tblHeader/>
        </w:trPr>
        <w:tc>
          <w:tcPr>
            <w:tcW w:w="2500" w:type="pct"/>
          </w:tcPr>
          <w:p w14:paraId="13F1AE29" w14:textId="77777777" w:rsidR="000135C2" w:rsidRPr="00210AC6" w:rsidRDefault="000135C2" w:rsidP="00C452AB">
            <w:pPr>
              <w:rPr>
                <w:rFonts w:cs="Arial"/>
                <w:b/>
                <w:bCs/>
                <w:szCs w:val="16"/>
              </w:rPr>
            </w:pPr>
            <w:r w:rsidRPr="00210AC6">
              <w:rPr>
                <w:rFonts w:cs="Arial"/>
                <w:b/>
                <w:bCs/>
                <w:szCs w:val="16"/>
              </w:rPr>
              <w:t>Percentage (%)</w:t>
            </w:r>
          </w:p>
        </w:tc>
        <w:tc>
          <w:tcPr>
            <w:tcW w:w="2500" w:type="pct"/>
          </w:tcPr>
          <w:p w14:paraId="39B30D2C" w14:textId="77777777" w:rsidR="000135C2" w:rsidRPr="00210AC6" w:rsidRDefault="000135C2" w:rsidP="00C452AB">
            <w:pPr>
              <w:rPr>
                <w:rFonts w:cs="Arial"/>
                <w:b/>
                <w:bCs/>
                <w:szCs w:val="16"/>
              </w:rPr>
            </w:pPr>
            <w:r w:rsidRPr="00210AC6">
              <w:rPr>
                <w:rFonts w:cs="Arial"/>
                <w:b/>
                <w:bCs/>
                <w:szCs w:val="16"/>
              </w:rPr>
              <w:t>Determination</w:t>
            </w:r>
          </w:p>
        </w:tc>
      </w:tr>
      <w:tr w:rsidR="00EA2984" w:rsidRPr="00210AC6" w14:paraId="3F9DCD5A" w14:textId="77777777" w:rsidTr="00C452AB">
        <w:tc>
          <w:tcPr>
            <w:tcW w:w="2500" w:type="pct"/>
          </w:tcPr>
          <w:p w14:paraId="04815A38" w14:textId="3638D13B" w:rsidR="00EA2984" w:rsidRPr="00210AC6" w:rsidRDefault="00EA2984" w:rsidP="00EA2984">
            <w:pPr>
              <w:rPr>
                <w:rFonts w:cs="Arial"/>
                <w:szCs w:val="16"/>
              </w:rPr>
            </w:pPr>
            <w:r w:rsidRPr="00E9436C">
              <w:t>68.75%</w:t>
            </w:r>
          </w:p>
        </w:tc>
        <w:tc>
          <w:tcPr>
            <w:tcW w:w="2500" w:type="pct"/>
          </w:tcPr>
          <w:p w14:paraId="716EB835" w14:textId="1F97A48D" w:rsidR="00EA2984" w:rsidRPr="00210AC6" w:rsidRDefault="00EA2984" w:rsidP="00EA2984">
            <w:pPr>
              <w:rPr>
                <w:rFonts w:cs="Arial"/>
                <w:szCs w:val="16"/>
              </w:rPr>
            </w:pPr>
            <w:r w:rsidRPr="00E9436C">
              <w:t>Needs Assistance</w:t>
            </w:r>
          </w:p>
        </w:tc>
      </w:tr>
    </w:tbl>
    <w:p w14:paraId="23DBD887" w14:textId="77777777" w:rsidR="000135C2" w:rsidRPr="00210AC6" w:rsidRDefault="000135C2" w:rsidP="000135C2">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CENNSRSTCMPCFFYSTAT"/>
      </w:tblPr>
      <w:tblGrid>
        <w:gridCol w:w="2724"/>
        <w:gridCol w:w="2724"/>
        <w:gridCol w:w="2722"/>
        <w:gridCol w:w="2631"/>
      </w:tblGrid>
      <w:tr w:rsidR="000135C2" w:rsidRPr="00210AC6" w14:paraId="44510F9C" w14:textId="77777777" w:rsidTr="005E363D">
        <w:trPr>
          <w:tblHeader/>
        </w:trPr>
        <w:tc>
          <w:tcPr>
            <w:tcW w:w="1261" w:type="pct"/>
          </w:tcPr>
          <w:p w14:paraId="440E7CEC" w14:textId="6F64F1A1" w:rsidR="000135C2" w:rsidRPr="00210AC6" w:rsidRDefault="00720FA0" w:rsidP="00C452AB">
            <w:pPr>
              <w:rPr>
                <w:rFonts w:cs="Arial"/>
                <w:b/>
                <w:bCs/>
                <w:szCs w:val="16"/>
              </w:rPr>
            </w:pPr>
            <w:r>
              <w:rPr>
                <w:rFonts w:cs="Arial"/>
                <w:b/>
                <w:bCs/>
                <w:szCs w:val="16"/>
              </w:rPr>
              <w:t>Section</w:t>
            </w:r>
          </w:p>
        </w:tc>
        <w:tc>
          <w:tcPr>
            <w:tcW w:w="1261" w:type="pct"/>
          </w:tcPr>
          <w:p w14:paraId="7ADB4751" w14:textId="77777777" w:rsidR="000135C2" w:rsidRPr="00210AC6" w:rsidRDefault="000135C2" w:rsidP="00C452AB">
            <w:pPr>
              <w:rPr>
                <w:rFonts w:cs="Arial"/>
                <w:b/>
                <w:bCs/>
                <w:szCs w:val="16"/>
              </w:rPr>
            </w:pPr>
            <w:r w:rsidRPr="00210AC6">
              <w:rPr>
                <w:rFonts w:cs="Arial"/>
                <w:b/>
                <w:bCs/>
                <w:szCs w:val="16"/>
              </w:rPr>
              <w:t>Total Points Available</w:t>
            </w:r>
          </w:p>
        </w:tc>
        <w:tc>
          <w:tcPr>
            <w:tcW w:w="1260" w:type="pct"/>
          </w:tcPr>
          <w:p w14:paraId="494BE99C" w14:textId="77777777" w:rsidR="000135C2" w:rsidRPr="00210AC6" w:rsidRDefault="000135C2" w:rsidP="00C452AB">
            <w:pPr>
              <w:rPr>
                <w:rFonts w:cs="Arial"/>
                <w:b/>
                <w:bCs/>
                <w:szCs w:val="16"/>
              </w:rPr>
            </w:pPr>
            <w:r w:rsidRPr="00210AC6">
              <w:rPr>
                <w:rFonts w:cs="Arial"/>
                <w:b/>
                <w:bCs/>
                <w:szCs w:val="16"/>
              </w:rPr>
              <w:t>Points Earned</w:t>
            </w:r>
          </w:p>
        </w:tc>
        <w:tc>
          <w:tcPr>
            <w:tcW w:w="1218" w:type="pct"/>
          </w:tcPr>
          <w:p w14:paraId="004DD0D4" w14:textId="77777777" w:rsidR="000135C2" w:rsidRPr="00210AC6" w:rsidRDefault="000135C2" w:rsidP="00C452AB">
            <w:pPr>
              <w:rPr>
                <w:rFonts w:cs="Arial"/>
                <w:b/>
                <w:bCs/>
                <w:szCs w:val="16"/>
              </w:rPr>
            </w:pPr>
            <w:r w:rsidRPr="00210AC6">
              <w:rPr>
                <w:rFonts w:cs="Arial"/>
                <w:b/>
                <w:bCs/>
                <w:szCs w:val="16"/>
              </w:rPr>
              <w:t>Score (%)</w:t>
            </w:r>
          </w:p>
        </w:tc>
      </w:tr>
      <w:tr w:rsidR="005E363D" w:rsidRPr="00210AC6" w14:paraId="397054B2" w14:textId="77777777" w:rsidTr="005E363D">
        <w:tc>
          <w:tcPr>
            <w:tcW w:w="1261" w:type="pct"/>
          </w:tcPr>
          <w:p w14:paraId="74D0AF28" w14:textId="77777777" w:rsidR="005E363D" w:rsidRPr="00210AC6" w:rsidRDefault="005E363D" w:rsidP="005E363D">
            <w:pPr>
              <w:rPr>
                <w:rFonts w:cs="Arial"/>
                <w:b/>
                <w:bCs/>
                <w:szCs w:val="16"/>
              </w:rPr>
            </w:pPr>
            <w:r w:rsidRPr="00210AC6">
              <w:rPr>
                <w:rFonts w:cs="Arial"/>
                <w:b/>
                <w:bCs/>
                <w:szCs w:val="16"/>
              </w:rPr>
              <w:t>Results</w:t>
            </w:r>
          </w:p>
        </w:tc>
        <w:tc>
          <w:tcPr>
            <w:tcW w:w="1261" w:type="pct"/>
          </w:tcPr>
          <w:p w14:paraId="04DC97CF" w14:textId="64F9E371" w:rsidR="005E363D" w:rsidRPr="00210AC6" w:rsidRDefault="005E363D" w:rsidP="005E363D">
            <w:pPr>
              <w:rPr>
                <w:rFonts w:cs="Arial"/>
                <w:noProof/>
                <w:szCs w:val="16"/>
              </w:rPr>
            </w:pPr>
            <w:r w:rsidRPr="009E3CB1">
              <w:t>8</w:t>
            </w:r>
          </w:p>
        </w:tc>
        <w:tc>
          <w:tcPr>
            <w:tcW w:w="1260" w:type="pct"/>
          </w:tcPr>
          <w:p w14:paraId="1DB8807F" w14:textId="14C73F50" w:rsidR="005E363D" w:rsidRPr="00210AC6" w:rsidRDefault="005E363D" w:rsidP="005E363D">
            <w:pPr>
              <w:rPr>
                <w:rFonts w:cs="Arial"/>
                <w:szCs w:val="16"/>
              </w:rPr>
            </w:pPr>
            <w:r w:rsidRPr="009E3CB1">
              <w:t>4</w:t>
            </w:r>
          </w:p>
        </w:tc>
        <w:tc>
          <w:tcPr>
            <w:tcW w:w="1218" w:type="pct"/>
          </w:tcPr>
          <w:p w14:paraId="4A2646A0" w14:textId="15C11718" w:rsidR="005E363D" w:rsidRPr="00210AC6" w:rsidRDefault="005E363D" w:rsidP="005E363D">
            <w:pPr>
              <w:rPr>
                <w:rFonts w:cs="Arial"/>
                <w:szCs w:val="16"/>
              </w:rPr>
            </w:pPr>
            <w:r w:rsidRPr="009E3CB1">
              <w:t>50.00%</w:t>
            </w:r>
          </w:p>
        </w:tc>
      </w:tr>
      <w:tr w:rsidR="005E363D" w:rsidRPr="00210AC6" w14:paraId="3B79C149" w14:textId="77777777" w:rsidTr="005E363D">
        <w:tc>
          <w:tcPr>
            <w:tcW w:w="1261" w:type="pct"/>
          </w:tcPr>
          <w:p w14:paraId="256E1213" w14:textId="77777777" w:rsidR="005E363D" w:rsidRPr="00210AC6" w:rsidRDefault="005E363D" w:rsidP="005E363D">
            <w:pPr>
              <w:rPr>
                <w:rFonts w:cs="Arial"/>
                <w:b/>
                <w:bCs/>
                <w:szCs w:val="16"/>
              </w:rPr>
            </w:pPr>
            <w:r w:rsidRPr="00210AC6">
              <w:rPr>
                <w:rFonts w:cs="Arial"/>
                <w:b/>
                <w:bCs/>
                <w:szCs w:val="16"/>
              </w:rPr>
              <w:t>Compliance</w:t>
            </w:r>
          </w:p>
        </w:tc>
        <w:tc>
          <w:tcPr>
            <w:tcW w:w="1261" w:type="pct"/>
          </w:tcPr>
          <w:p w14:paraId="0AB81B7A" w14:textId="28118D00" w:rsidR="005E363D" w:rsidRPr="00210AC6" w:rsidRDefault="005E363D" w:rsidP="005E363D">
            <w:pPr>
              <w:rPr>
                <w:rFonts w:cs="Arial"/>
                <w:szCs w:val="16"/>
              </w:rPr>
            </w:pPr>
            <w:r w:rsidRPr="009E3CB1">
              <w:t>16</w:t>
            </w:r>
          </w:p>
        </w:tc>
        <w:tc>
          <w:tcPr>
            <w:tcW w:w="1260" w:type="pct"/>
          </w:tcPr>
          <w:p w14:paraId="5402D01D" w14:textId="1557C1A3" w:rsidR="005E363D" w:rsidRPr="00210AC6" w:rsidRDefault="005E363D" w:rsidP="005E363D">
            <w:pPr>
              <w:rPr>
                <w:rFonts w:cs="Arial"/>
                <w:szCs w:val="16"/>
              </w:rPr>
            </w:pPr>
            <w:r w:rsidRPr="009E3CB1">
              <w:t>14</w:t>
            </w:r>
          </w:p>
        </w:tc>
        <w:tc>
          <w:tcPr>
            <w:tcW w:w="1218" w:type="pct"/>
          </w:tcPr>
          <w:p w14:paraId="0AF6DC9A" w14:textId="17AC6D6F" w:rsidR="005E363D" w:rsidRPr="00210AC6" w:rsidRDefault="005E363D" w:rsidP="005E363D">
            <w:pPr>
              <w:rPr>
                <w:rFonts w:cs="Arial"/>
                <w:szCs w:val="16"/>
              </w:rPr>
            </w:pPr>
            <w:r w:rsidRPr="009E3CB1">
              <w:t>87.50%</w:t>
            </w:r>
          </w:p>
        </w:tc>
      </w:tr>
    </w:tbl>
    <w:p w14:paraId="41A7EDC9" w14:textId="77777777" w:rsidR="006362E6" w:rsidRDefault="006362E6" w:rsidP="000135C2">
      <w:pPr>
        <w:rPr>
          <w:rFonts w:cs="Arial"/>
          <w:b/>
          <w:bCs/>
          <w:szCs w:val="16"/>
        </w:rPr>
      </w:pPr>
    </w:p>
    <w:p w14:paraId="48F8CFFB" w14:textId="6812358A" w:rsidR="000135C2" w:rsidRDefault="000135C2" w:rsidP="000135C2">
      <w:pPr>
        <w:rPr>
          <w:rFonts w:cs="Arial"/>
          <w:b/>
          <w:bCs/>
          <w:szCs w:val="16"/>
        </w:rPr>
      </w:pPr>
      <w:r w:rsidRPr="00210AC6">
        <w:rPr>
          <w:rFonts w:cs="Arial"/>
          <w:b/>
          <w:bCs/>
          <w:szCs w:val="16"/>
        </w:rPr>
        <w:t>2024 Part C Results Matrix</w:t>
      </w:r>
    </w:p>
    <w:p w14:paraId="7F8D5EA3" w14:textId="77777777" w:rsidR="00E34D8D" w:rsidRPr="00210AC6" w:rsidRDefault="00E34D8D" w:rsidP="000135C2">
      <w:pPr>
        <w:rPr>
          <w:rFonts w:cs="Arial"/>
          <w:b/>
          <w:bCs/>
          <w:szCs w:val="16"/>
        </w:rPr>
      </w:pPr>
    </w:p>
    <w:p w14:paraId="47413CEB" w14:textId="77777777" w:rsidR="004255C0" w:rsidRPr="004255C0" w:rsidRDefault="004255C0" w:rsidP="004255C0">
      <w:pPr>
        <w:rPr>
          <w:rFonts w:cs="Arial"/>
          <w:b/>
          <w:bCs/>
          <w:szCs w:val="16"/>
        </w:rPr>
      </w:pPr>
      <w:r w:rsidRPr="004255C0">
        <w:rPr>
          <w:rFonts w:cs="Arial"/>
          <w:b/>
          <w:bCs/>
          <w:szCs w:val="16"/>
        </w:rPr>
        <w:t>I. Data Quality</w:t>
      </w:r>
    </w:p>
    <w:p w14:paraId="0C4FAE72" w14:textId="2CCACD40" w:rsidR="000135C2" w:rsidRPr="00210AC6" w:rsidRDefault="004255C0" w:rsidP="004255C0">
      <w:pPr>
        <w:rPr>
          <w:rFonts w:cs="Arial"/>
          <w:b/>
          <w:bCs/>
          <w:szCs w:val="16"/>
        </w:rPr>
      </w:pPr>
      <w:r w:rsidRPr="004255C0">
        <w:rPr>
          <w:rFonts w:cs="Arial"/>
          <w:b/>
          <w:bCs/>
          <w:szCs w:val="16"/>
        </w:rPr>
        <w:t>(a) Data Completeness: The percent of children included in your State’s 2021 Outcomes Data (Indicator C3)</w:t>
      </w:r>
    </w:p>
    <w:tbl>
      <w:tblPr>
        <w:tblStyle w:val="TableGrid1"/>
        <w:tblW w:w="5000" w:type="pct"/>
        <w:tblLayout w:type="fixed"/>
        <w:tblLook w:val="04A0" w:firstRow="1" w:lastRow="0" w:firstColumn="1" w:lastColumn="0" w:noHBand="0" w:noVBand="1"/>
        <w:tblCaption w:val="C03CPDQ"/>
      </w:tblPr>
      <w:tblGrid>
        <w:gridCol w:w="8004"/>
        <w:gridCol w:w="2786"/>
      </w:tblGrid>
      <w:tr w:rsidR="0025401C" w:rsidRPr="00210AC6" w14:paraId="5DB158AC" w14:textId="77777777" w:rsidTr="0025401C">
        <w:trPr>
          <w:trHeight w:val="332"/>
        </w:trPr>
        <w:tc>
          <w:tcPr>
            <w:tcW w:w="3709" w:type="pct"/>
          </w:tcPr>
          <w:p w14:paraId="099E3031" w14:textId="7E92C028" w:rsidR="0025401C" w:rsidRPr="00210AC6" w:rsidRDefault="0025401C" w:rsidP="008B3495">
            <w:pPr>
              <w:rPr>
                <w:rFonts w:cs="Arial"/>
                <w:b/>
                <w:bCs/>
                <w:szCs w:val="16"/>
              </w:rPr>
            </w:pPr>
            <w:r w:rsidRPr="00DC3177">
              <w:t>Number of Children Reported in Indicator C3 (i.e., outcome data)</w:t>
            </w:r>
          </w:p>
        </w:tc>
        <w:tc>
          <w:tcPr>
            <w:tcW w:w="1291" w:type="pct"/>
          </w:tcPr>
          <w:p w14:paraId="14AB8BB0" w14:textId="3C5B9E51" w:rsidR="0025401C" w:rsidRPr="00210AC6" w:rsidRDefault="0025401C" w:rsidP="008B3495">
            <w:pPr>
              <w:rPr>
                <w:rFonts w:cs="Arial"/>
                <w:szCs w:val="16"/>
              </w:rPr>
            </w:pPr>
            <w:r w:rsidRPr="00CF63C0">
              <w:rPr>
                <w:rFonts w:cs="Arial"/>
                <w:szCs w:val="16"/>
              </w:rPr>
              <w:t>1,774</w:t>
            </w:r>
          </w:p>
        </w:tc>
      </w:tr>
      <w:tr w:rsidR="0025401C" w:rsidRPr="00210AC6" w14:paraId="6F64E3BE" w14:textId="77777777" w:rsidTr="0025401C">
        <w:trPr>
          <w:trHeight w:val="332"/>
        </w:trPr>
        <w:tc>
          <w:tcPr>
            <w:tcW w:w="3709" w:type="pct"/>
          </w:tcPr>
          <w:p w14:paraId="77A3B864" w14:textId="3D9C0E86" w:rsidR="0025401C" w:rsidRPr="00210AC6" w:rsidRDefault="0025401C" w:rsidP="008B3495">
            <w:pPr>
              <w:rPr>
                <w:rFonts w:cs="Arial"/>
                <w:b/>
                <w:bCs/>
                <w:szCs w:val="16"/>
              </w:rPr>
            </w:pPr>
            <w:r w:rsidRPr="00DC3177">
              <w:t>Number of Children Reported Exiting in 618 Data (i.e., 618 exiting data)</w:t>
            </w:r>
          </w:p>
        </w:tc>
        <w:tc>
          <w:tcPr>
            <w:tcW w:w="1291" w:type="pct"/>
          </w:tcPr>
          <w:p w14:paraId="5EE5C279" w14:textId="04907E5F" w:rsidR="0025401C" w:rsidRPr="00210AC6" w:rsidRDefault="0025401C" w:rsidP="008B3495">
            <w:pPr>
              <w:rPr>
                <w:rFonts w:cs="Arial"/>
                <w:szCs w:val="16"/>
              </w:rPr>
            </w:pPr>
            <w:r w:rsidRPr="00E9667F">
              <w:rPr>
                <w:rFonts w:cs="Arial"/>
                <w:szCs w:val="16"/>
              </w:rPr>
              <w:t>3,437</w:t>
            </w:r>
          </w:p>
        </w:tc>
      </w:tr>
      <w:tr w:rsidR="0025401C" w:rsidRPr="00210AC6" w14:paraId="18255402" w14:textId="77777777" w:rsidTr="0025401C">
        <w:trPr>
          <w:trHeight w:val="278"/>
        </w:trPr>
        <w:tc>
          <w:tcPr>
            <w:tcW w:w="3709" w:type="pct"/>
          </w:tcPr>
          <w:p w14:paraId="0C81F52D" w14:textId="5DE6FAEA" w:rsidR="0025401C" w:rsidRPr="00210AC6" w:rsidRDefault="0025401C" w:rsidP="008B3495">
            <w:pPr>
              <w:rPr>
                <w:rFonts w:cs="Arial"/>
                <w:b/>
                <w:bCs/>
                <w:szCs w:val="16"/>
              </w:rPr>
            </w:pPr>
            <w:r w:rsidRPr="00DC3177">
              <w:t>Percentage of Children Exiting who are Included in Outcome Data (%)</w:t>
            </w:r>
          </w:p>
        </w:tc>
        <w:tc>
          <w:tcPr>
            <w:tcW w:w="1291" w:type="pct"/>
          </w:tcPr>
          <w:p w14:paraId="70A76A47" w14:textId="3C259405" w:rsidR="0025401C" w:rsidRPr="00210AC6" w:rsidRDefault="0025401C" w:rsidP="008B3495">
            <w:pPr>
              <w:rPr>
                <w:rFonts w:cs="Arial"/>
                <w:szCs w:val="16"/>
              </w:rPr>
            </w:pPr>
            <w:r w:rsidRPr="00376AC6">
              <w:rPr>
                <w:rFonts w:cs="Arial"/>
                <w:szCs w:val="16"/>
              </w:rPr>
              <w:t>51.61</w:t>
            </w:r>
          </w:p>
        </w:tc>
      </w:tr>
      <w:tr w:rsidR="0025401C" w:rsidRPr="00210AC6" w14:paraId="35DCFD1D" w14:textId="77777777" w:rsidTr="0025401C">
        <w:trPr>
          <w:trHeight w:val="242"/>
        </w:trPr>
        <w:tc>
          <w:tcPr>
            <w:tcW w:w="3709" w:type="pct"/>
          </w:tcPr>
          <w:p w14:paraId="6B149A9B" w14:textId="57CC85C4" w:rsidR="0025401C" w:rsidRPr="00210AC6" w:rsidRDefault="0025401C" w:rsidP="00C452AB">
            <w:pPr>
              <w:rPr>
                <w:rFonts w:cs="Arial"/>
                <w:b/>
                <w:bCs/>
                <w:szCs w:val="16"/>
              </w:rPr>
            </w:pPr>
            <w:r w:rsidRPr="00083FA7">
              <w:rPr>
                <w:rFonts w:cs="Arial"/>
                <w:b/>
                <w:bCs/>
                <w:szCs w:val="16"/>
              </w:rPr>
              <w:t xml:space="preserve">Data Completeness Score </w:t>
            </w:r>
            <w:r w:rsidR="00976350" w:rsidRPr="009170B4">
              <w:rPr>
                <w:rFonts w:cs="Arial"/>
                <w:szCs w:val="16"/>
              </w:rPr>
              <w:t>(</w:t>
            </w:r>
            <w:r w:rsidR="00976350">
              <w:rPr>
                <w:szCs w:val="16"/>
              </w:rPr>
              <w:t>p</w:t>
            </w:r>
            <w:r w:rsidR="00976350" w:rsidRPr="001D4A43">
              <w:rPr>
                <w:szCs w:val="16"/>
              </w:rPr>
              <w:t>lease see Appendix A for a detailed description of this calculation</w:t>
            </w:r>
            <w:r w:rsidR="00976350">
              <w:rPr>
                <w:szCs w:val="16"/>
              </w:rPr>
              <w:t>)</w:t>
            </w:r>
          </w:p>
        </w:tc>
        <w:tc>
          <w:tcPr>
            <w:tcW w:w="1291" w:type="pct"/>
          </w:tcPr>
          <w:p w14:paraId="107C09E6" w14:textId="375E5281" w:rsidR="0025401C" w:rsidRPr="00210AC6" w:rsidRDefault="0025401C" w:rsidP="00C452AB">
            <w:pPr>
              <w:rPr>
                <w:rFonts w:cs="Arial"/>
                <w:szCs w:val="16"/>
              </w:rPr>
            </w:pPr>
            <w:r w:rsidRPr="0025401C">
              <w:rPr>
                <w:rFonts w:cs="Arial"/>
                <w:szCs w:val="16"/>
              </w:rPr>
              <w:t>1</w:t>
            </w:r>
          </w:p>
        </w:tc>
      </w:tr>
    </w:tbl>
    <w:p w14:paraId="774C49BA" w14:textId="0261CB20" w:rsidR="006362E6" w:rsidRDefault="006362E6" w:rsidP="007C3ED8">
      <w:pPr>
        <w:rPr>
          <w:rFonts w:cs="Arial"/>
          <w:b/>
          <w:bCs/>
          <w:szCs w:val="16"/>
        </w:rPr>
      </w:pPr>
      <w:r w:rsidRPr="004255C0">
        <w:rPr>
          <w:rFonts w:cs="Arial"/>
          <w:b/>
          <w:bCs/>
          <w:szCs w:val="16"/>
        </w:rPr>
        <w:t>(b) Data Anomalies: Anomalies in your State’s FFY 2021 Outcomes Data</w:t>
      </w:r>
    </w:p>
    <w:tbl>
      <w:tblPr>
        <w:tblStyle w:val="TableGrid1"/>
        <w:tblW w:w="5000" w:type="pct"/>
        <w:tblLayout w:type="fixed"/>
        <w:tblLook w:val="04A0" w:firstRow="1" w:lastRow="0" w:firstColumn="1" w:lastColumn="0" w:noHBand="0" w:noVBand="1"/>
        <w:tblCaption w:val="C03ANOMSCRDQ"/>
      </w:tblPr>
      <w:tblGrid>
        <w:gridCol w:w="8004"/>
        <w:gridCol w:w="2786"/>
      </w:tblGrid>
      <w:tr w:rsidR="006362E6" w:rsidRPr="00210AC6" w14:paraId="33F31A15" w14:textId="77777777" w:rsidTr="00087E4F">
        <w:trPr>
          <w:trHeight w:val="242"/>
        </w:trPr>
        <w:tc>
          <w:tcPr>
            <w:tcW w:w="3709" w:type="pct"/>
          </w:tcPr>
          <w:p w14:paraId="20D4245E" w14:textId="5C34931B" w:rsidR="006362E6" w:rsidRPr="00210AC6" w:rsidRDefault="006362E6" w:rsidP="005032AF">
            <w:pPr>
              <w:tabs>
                <w:tab w:val="left" w:pos="2580"/>
              </w:tabs>
              <w:rPr>
                <w:rFonts w:cs="Arial"/>
                <w:b/>
                <w:bCs/>
                <w:szCs w:val="16"/>
              </w:rPr>
            </w:pPr>
            <w:r w:rsidRPr="00083FA7">
              <w:rPr>
                <w:rFonts w:cs="Arial"/>
                <w:b/>
                <w:bCs/>
                <w:szCs w:val="16"/>
              </w:rPr>
              <w:t xml:space="preserve">Data Anomalies Score </w:t>
            </w:r>
            <w:r w:rsidR="00976350" w:rsidRPr="009170B4">
              <w:rPr>
                <w:rFonts w:cs="Arial"/>
                <w:szCs w:val="16"/>
              </w:rPr>
              <w:t>(</w:t>
            </w:r>
            <w:r w:rsidR="00976350">
              <w:rPr>
                <w:szCs w:val="16"/>
              </w:rPr>
              <w:t>p</w:t>
            </w:r>
            <w:r w:rsidR="00976350" w:rsidRPr="001D4A43">
              <w:rPr>
                <w:szCs w:val="16"/>
              </w:rPr>
              <w:t xml:space="preserve">lease see Appendix </w:t>
            </w:r>
            <w:r w:rsidR="00976350">
              <w:rPr>
                <w:szCs w:val="16"/>
              </w:rPr>
              <w:t>B</w:t>
            </w:r>
            <w:r w:rsidR="00976350" w:rsidRPr="001D4A43">
              <w:rPr>
                <w:szCs w:val="16"/>
              </w:rPr>
              <w:t xml:space="preserve"> for a detailed description of this calculation</w:t>
            </w:r>
            <w:r w:rsidR="00976350">
              <w:rPr>
                <w:szCs w:val="16"/>
              </w:rPr>
              <w:t>)</w:t>
            </w:r>
          </w:p>
        </w:tc>
        <w:tc>
          <w:tcPr>
            <w:tcW w:w="1291" w:type="pct"/>
          </w:tcPr>
          <w:p w14:paraId="0583FFA5" w14:textId="2964D452" w:rsidR="006362E6" w:rsidRPr="00210AC6" w:rsidRDefault="006362E6" w:rsidP="00087E4F">
            <w:pPr>
              <w:rPr>
                <w:rFonts w:cs="Arial"/>
                <w:szCs w:val="16"/>
              </w:rPr>
            </w:pPr>
            <w:r w:rsidRPr="0025401C">
              <w:rPr>
                <w:rFonts w:cs="Arial"/>
                <w:szCs w:val="16"/>
              </w:rPr>
              <w:t>2</w:t>
            </w:r>
          </w:p>
        </w:tc>
      </w:tr>
    </w:tbl>
    <w:p w14:paraId="5A12DDCF" w14:textId="77777777" w:rsidR="006362E6" w:rsidRDefault="006362E6" w:rsidP="007C3ED8">
      <w:pPr>
        <w:rPr>
          <w:rFonts w:cs="Arial"/>
          <w:b/>
          <w:bCs/>
          <w:szCs w:val="16"/>
        </w:rPr>
      </w:pPr>
    </w:p>
    <w:p w14:paraId="0A05DE8A" w14:textId="24FB5C5B" w:rsidR="007C3ED8" w:rsidRPr="007C3ED8" w:rsidRDefault="007C3ED8" w:rsidP="007C3ED8">
      <w:pPr>
        <w:rPr>
          <w:rFonts w:cs="Arial"/>
          <w:b/>
          <w:bCs/>
          <w:szCs w:val="16"/>
        </w:rPr>
      </w:pPr>
      <w:r w:rsidRPr="007C3ED8">
        <w:rPr>
          <w:rFonts w:cs="Arial"/>
          <w:b/>
          <w:bCs/>
          <w:szCs w:val="16"/>
        </w:rPr>
        <w:t>II. Child Performance</w:t>
      </w:r>
    </w:p>
    <w:p w14:paraId="61D2FD1A" w14:textId="2332C5FE" w:rsidR="000135C2" w:rsidRPr="00210AC6" w:rsidRDefault="007C3ED8" w:rsidP="007C3ED8">
      <w:pPr>
        <w:rPr>
          <w:rFonts w:cs="Arial"/>
          <w:b/>
          <w:bCs/>
          <w:szCs w:val="16"/>
        </w:rPr>
      </w:pPr>
      <w:r w:rsidRPr="007C3ED8">
        <w:rPr>
          <w:rFonts w:cs="Arial"/>
          <w:b/>
          <w:bCs/>
          <w:szCs w:val="16"/>
        </w:rPr>
        <w:t>(a) Data Comparison: Comparing your State’s 2022 Outcomes Data to other States’ 2022 Outcomes Data</w:t>
      </w:r>
    </w:p>
    <w:tbl>
      <w:tblPr>
        <w:tblStyle w:val="TableGrid1"/>
        <w:tblW w:w="5000" w:type="pct"/>
        <w:tblLayout w:type="fixed"/>
        <w:tblLook w:val="04A0" w:firstRow="1" w:lastRow="0" w:firstColumn="1" w:lastColumn="0" w:noHBand="0" w:noVBand="1"/>
        <w:tblCaption w:val="C03COMPDQ"/>
      </w:tblPr>
      <w:tblGrid>
        <w:gridCol w:w="8004"/>
        <w:gridCol w:w="2786"/>
      </w:tblGrid>
      <w:tr w:rsidR="007C3ED8" w:rsidRPr="00210AC6" w14:paraId="026E94FD" w14:textId="77777777" w:rsidTr="00C452AB">
        <w:trPr>
          <w:trHeight w:val="242"/>
        </w:trPr>
        <w:tc>
          <w:tcPr>
            <w:tcW w:w="3709" w:type="pct"/>
          </w:tcPr>
          <w:p w14:paraId="1410ED5E" w14:textId="67FC6A04" w:rsidR="007C3ED8" w:rsidRPr="00210AC6" w:rsidRDefault="007C3ED8" w:rsidP="00C452AB">
            <w:pPr>
              <w:rPr>
                <w:rFonts w:cs="Arial"/>
                <w:b/>
                <w:bCs/>
                <w:szCs w:val="16"/>
              </w:rPr>
            </w:pPr>
            <w:r w:rsidRPr="00083FA7">
              <w:rPr>
                <w:rFonts w:cs="Arial"/>
                <w:b/>
                <w:bCs/>
                <w:szCs w:val="16"/>
              </w:rPr>
              <w:t xml:space="preserve">Data Comparison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C</w:t>
            </w:r>
            <w:r w:rsidR="00976350" w:rsidRPr="001D4A43">
              <w:rPr>
                <w:szCs w:val="16"/>
              </w:rPr>
              <w:t xml:space="preserve"> for a detailed description of this calculation</w:t>
            </w:r>
            <w:r w:rsidR="00976350">
              <w:rPr>
                <w:szCs w:val="16"/>
              </w:rPr>
              <w:t>)</w:t>
            </w:r>
          </w:p>
        </w:tc>
        <w:tc>
          <w:tcPr>
            <w:tcW w:w="1291" w:type="pct"/>
          </w:tcPr>
          <w:p w14:paraId="686EEC5D" w14:textId="0E149195" w:rsidR="007C3ED8" w:rsidRPr="00210AC6" w:rsidRDefault="002E1B30" w:rsidP="00C452AB">
            <w:pPr>
              <w:rPr>
                <w:rFonts w:cs="Arial"/>
                <w:szCs w:val="16"/>
              </w:rPr>
            </w:pPr>
            <w:r w:rsidRPr="002E1B30">
              <w:rPr>
                <w:rFonts w:cs="Arial"/>
                <w:szCs w:val="16"/>
              </w:rPr>
              <w:t>0</w:t>
            </w:r>
          </w:p>
        </w:tc>
      </w:tr>
    </w:tbl>
    <w:p w14:paraId="3C981E99" w14:textId="2204B6F4" w:rsidR="00E34D8D" w:rsidRDefault="00E34D8D" w:rsidP="00E34D8D">
      <w:pPr>
        <w:rPr>
          <w:rFonts w:cs="Arial"/>
          <w:b/>
          <w:bCs/>
          <w:szCs w:val="16"/>
        </w:rPr>
      </w:pPr>
      <w:r w:rsidRPr="00094EAD">
        <w:rPr>
          <w:rFonts w:cs="Arial"/>
          <w:b/>
          <w:bCs/>
          <w:szCs w:val="16"/>
        </w:rPr>
        <w:t>(b) Performance Change Over Time: Comparing your State’s FFY 2022 data to your State’s FFY 2021 data</w:t>
      </w:r>
    </w:p>
    <w:tbl>
      <w:tblPr>
        <w:tblStyle w:val="TableGrid1"/>
        <w:tblW w:w="5000" w:type="pct"/>
        <w:tblLayout w:type="fixed"/>
        <w:tblLook w:val="04A0" w:firstRow="1" w:lastRow="0" w:firstColumn="1" w:lastColumn="0" w:noHBand="0" w:noVBand="1"/>
        <w:tblCaption w:val="C03PRMDQ"/>
      </w:tblPr>
      <w:tblGrid>
        <w:gridCol w:w="8004"/>
        <w:gridCol w:w="2786"/>
      </w:tblGrid>
      <w:tr w:rsidR="00E34D8D" w:rsidRPr="00210AC6" w14:paraId="56526381" w14:textId="77777777" w:rsidTr="00087E4F">
        <w:trPr>
          <w:trHeight w:val="242"/>
        </w:trPr>
        <w:tc>
          <w:tcPr>
            <w:tcW w:w="3709" w:type="pct"/>
          </w:tcPr>
          <w:p w14:paraId="32DAB930" w14:textId="597C1B48" w:rsidR="00E34D8D" w:rsidRPr="00210AC6" w:rsidRDefault="00E34D8D" w:rsidP="00087E4F">
            <w:pPr>
              <w:rPr>
                <w:rFonts w:cs="Arial"/>
                <w:b/>
                <w:bCs/>
                <w:szCs w:val="16"/>
              </w:rPr>
            </w:pPr>
            <w:r>
              <w:rPr>
                <w:rFonts w:cs="Arial"/>
                <w:b/>
                <w:bCs/>
                <w:szCs w:val="16"/>
              </w:rPr>
              <w:t xml:space="preserve">Performance Change Score </w:t>
            </w:r>
            <w:r w:rsidR="00976350" w:rsidRPr="00B02EBE">
              <w:rPr>
                <w:rFonts w:cs="Arial"/>
                <w:szCs w:val="16"/>
              </w:rPr>
              <w:t>(</w:t>
            </w:r>
            <w:r w:rsidR="00976350">
              <w:rPr>
                <w:szCs w:val="16"/>
              </w:rPr>
              <w:t>p</w:t>
            </w:r>
            <w:r w:rsidR="00976350" w:rsidRPr="001D4A43">
              <w:rPr>
                <w:szCs w:val="16"/>
              </w:rPr>
              <w:t xml:space="preserve">lease see Appendix </w:t>
            </w:r>
            <w:r w:rsidR="00976350">
              <w:rPr>
                <w:szCs w:val="16"/>
              </w:rPr>
              <w:t>D</w:t>
            </w:r>
            <w:r w:rsidR="00976350" w:rsidRPr="001D4A43">
              <w:rPr>
                <w:szCs w:val="16"/>
              </w:rPr>
              <w:t xml:space="preserve"> for a detailed description of this calculation</w:t>
            </w:r>
            <w:r w:rsidR="00976350">
              <w:rPr>
                <w:szCs w:val="16"/>
              </w:rPr>
              <w:t>)</w:t>
            </w:r>
          </w:p>
        </w:tc>
        <w:tc>
          <w:tcPr>
            <w:tcW w:w="1291" w:type="pct"/>
          </w:tcPr>
          <w:p w14:paraId="0BFF259B" w14:textId="4AC2A256" w:rsidR="00E34D8D" w:rsidRPr="00210AC6" w:rsidRDefault="00E34D8D" w:rsidP="00087E4F">
            <w:pPr>
              <w:rPr>
                <w:rFonts w:cs="Arial"/>
                <w:szCs w:val="16"/>
              </w:rPr>
            </w:pPr>
            <w:r w:rsidRPr="00F83692">
              <w:rPr>
                <w:rFonts w:cs="Arial"/>
                <w:szCs w:val="16"/>
              </w:rPr>
              <w:t>1</w:t>
            </w:r>
          </w:p>
        </w:tc>
      </w:tr>
    </w:tbl>
    <w:p w14:paraId="38DC31DA" w14:textId="77777777" w:rsidR="00E34D8D" w:rsidRPr="00210AC6" w:rsidRDefault="00E34D8D" w:rsidP="000135C2">
      <w:pPr>
        <w:rPr>
          <w:rFonts w:cs="Arial"/>
          <w:b/>
          <w:bCs/>
          <w:szCs w:val="16"/>
        </w:rPr>
      </w:pPr>
    </w:p>
    <w:tbl>
      <w:tblPr>
        <w:tblStyle w:val="TableGrid1"/>
        <w:tblW w:w="5000" w:type="pct"/>
        <w:tblLayout w:type="fixed"/>
        <w:tblLook w:val="04A0" w:firstRow="1" w:lastRow="0" w:firstColumn="1" w:lastColumn="0" w:noHBand="0" w:noVBand="1"/>
        <w:tblCaption w:val="C03SSPDQ"/>
      </w:tblPr>
      <w:tblGrid>
        <w:gridCol w:w="1542"/>
        <w:gridCol w:w="1543"/>
        <w:gridCol w:w="1543"/>
        <w:gridCol w:w="1541"/>
        <w:gridCol w:w="1541"/>
        <w:gridCol w:w="1541"/>
        <w:gridCol w:w="1539"/>
      </w:tblGrid>
      <w:tr w:rsidR="00174585" w:rsidRPr="00210AC6" w14:paraId="78016CFA" w14:textId="77777777" w:rsidTr="00B03B19">
        <w:trPr>
          <w:tblHeader/>
        </w:trPr>
        <w:tc>
          <w:tcPr>
            <w:tcW w:w="715" w:type="pct"/>
          </w:tcPr>
          <w:p w14:paraId="6B2EF5DA" w14:textId="72656DE0" w:rsidR="00174585" w:rsidRPr="00174585" w:rsidRDefault="00174585" w:rsidP="00174585">
            <w:pPr>
              <w:rPr>
                <w:rFonts w:cs="Arial"/>
                <w:b/>
                <w:bCs/>
                <w:szCs w:val="16"/>
              </w:rPr>
            </w:pPr>
            <w:r w:rsidRPr="00174585">
              <w:rPr>
                <w:b/>
                <w:bCs/>
              </w:rPr>
              <w:t>Summary Statement Performance</w:t>
            </w:r>
          </w:p>
        </w:tc>
        <w:tc>
          <w:tcPr>
            <w:tcW w:w="715" w:type="pct"/>
          </w:tcPr>
          <w:p w14:paraId="0E1D3F85" w14:textId="38351CC1" w:rsidR="00174585" w:rsidRPr="00174585" w:rsidRDefault="00174585" w:rsidP="00174585">
            <w:pPr>
              <w:rPr>
                <w:rFonts w:cs="Arial"/>
                <w:b/>
                <w:bCs/>
                <w:szCs w:val="16"/>
              </w:rPr>
            </w:pPr>
            <w:r w:rsidRPr="00174585">
              <w:rPr>
                <w:b/>
                <w:bCs/>
              </w:rPr>
              <w:t>Outcome A: Positive Social Relationships SS1 (%)</w:t>
            </w:r>
          </w:p>
        </w:tc>
        <w:tc>
          <w:tcPr>
            <w:tcW w:w="715" w:type="pct"/>
          </w:tcPr>
          <w:p w14:paraId="3D8BC598" w14:textId="689CE969" w:rsidR="00174585" w:rsidRPr="00174585" w:rsidRDefault="00174585" w:rsidP="00174585">
            <w:pPr>
              <w:rPr>
                <w:rFonts w:cs="Arial"/>
                <w:b/>
                <w:bCs/>
                <w:szCs w:val="16"/>
              </w:rPr>
            </w:pPr>
            <w:r w:rsidRPr="00174585">
              <w:rPr>
                <w:b/>
                <w:bCs/>
              </w:rPr>
              <w:t>Outcome A: Positive Social Relationships SS2 (%)</w:t>
            </w:r>
          </w:p>
        </w:tc>
        <w:tc>
          <w:tcPr>
            <w:tcW w:w="714" w:type="pct"/>
          </w:tcPr>
          <w:p w14:paraId="68C42C33" w14:textId="352BC3DB" w:rsidR="00174585" w:rsidRPr="00174585" w:rsidRDefault="00174585" w:rsidP="00174585">
            <w:pPr>
              <w:rPr>
                <w:rFonts w:cs="Arial"/>
                <w:b/>
                <w:bCs/>
                <w:szCs w:val="16"/>
              </w:rPr>
            </w:pPr>
            <w:r w:rsidRPr="00174585">
              <w:rPr>
                <w:b/>
                <w:bCs/>
              </w:rPr>
              <w:t>Outcome B: Knowledge and Skill</w:t>
            </w:r>
            <w:r w:rsidR="00691386">
              <w:rPr>
                <w:b/>
                <w:bCs/>
              </w:rPr>
              <w:t>s</w:t>
            </w:r>
            <w:r w:rsidR="00747E4D">
              <w:rPr>
                <w:b/>
                <w:bCs/>
              </w:rPr>
              <w:t xml:space="preserve"> </w:t>
            </w:r>
            <w:r w:rsidR="00691386">
              <w:rPr>
                <w:b/>
                <w:bCs/>
              </w:rPr>
              <w:t>SS1 (%)</w:t>
            </w:r>
          </w:p>
        </w:tc>
        <w:tc>
          <w:tcPr>
            <w:tcW w:w="714" w:type="pct"/>
          </w:tcPr>
          <w:p w14:paraId="76C98EFE" w14:textId="6B058B9D" w:rsidR="00174585" w:rsidRPr="00174585" w:rsidRDefault="00691386" w:rsidP="00174585">
            <w:pPr>
              <w:rPr>
                <w:rFonts w:cs="Arial"/>
                <w:b/>
                <w:bCs/>
                <w:szCs w:val="16"/>
              </w:rPr>
            </w:pPr>
            <w:r>
              <w:rPr>
                <w:b/>
                <w:bCs/>
              </w:rPr>
              <w:t>Outcome B: Knowledge and Skills</w:t>
            </w:r>
            <w:r w:rsidR="00747E4D">
              <w:rPr>
                <w:b/>
                <w:bCs/>
              </w:rPr>
              <w:t xml:space="preserve"> </w:t>
            </w:r>
            <w:r>
              <w:rPr>
                <w:rFonts w:cs="Arial"/>
                <w:b/>
                <w:bCs/>
                <w:szCs w:val="16"/>
              </w:rPr>
              <w:t>SS2 (%)</w:t>
            </w:r>
          </w:p>
        </w:tc>
        <w:tc>
          <w:tcPr>
            <w:tcW w:w="714" w:type="pct"/>
          </w:tcPr>
          <w:p w14:paraId="039A9FF7" w14:textId="4EC9E4D2" w:rsidR="00174585" w:rsidRPr="00174585" w:rsidRDefault="00174585" w:rsidP="00174585">
            <w:pPr>
              <w:rPr>
                <w:rFonts w:cs="Arial"/>
                <w:b/>
                <w:bCs/>
                <w:szCs w:val="16"/>
              </w:rPr>
            </w:pPr>
            <w:r w:rsidRPr="00174585">
              <w:rPr>
                <w:b/>
                <w:bCs/>
              </w:rPr>
              <w:t>Outcome C: Actions to Meet Needs SS1 (%)</w:t>
            </w:r>
          </w:p>
        </w:tc>
        <w:tc>
          <w:tcPr>
            <w:tcW w:w="713" w:type="pct"/>
          </w:tcPr>
          <w:p w14:paraId="5DF76C45" w14:textId="325C1D96" w:rsidR="00174585" w:rsidRPr="00174585" w:rsidRDefault="00174585" w:rsidP="00174585">
            <w:pPr>
              <w:rPr>
                <w:rFonts w:cs="Arial"/>
                <w:b/>
                <w:bCs/>
                <w:szCs w:val="16"/>
              </w:rPr>
            </w:pPr>
            <w:r w:rsidRPr="00174585">
              <w:rPr>
                <w:b/>
                <w:bCs/>
              </w:rPr>
              <w:t>Outcome C: Actions to Meet Needs</w:t>
            </w:r>
            <w:r w:rsidR="00747E4D">
              <w:rPr>
                <w:b/>
                <w:bCs/>
              </w:rPr>
              <w:t xml:space="preserve"> </w:t>
            </w:r>
            <w:r w:rsidRPr="00174585">
              <w:rPr>
                <w:b/>
                <w:bCs/>
              </w:rPr>
              <w:t>SS2 (%)</w:t>
            </w:r>
          </w:p>
        </w:tc>
      </w:tr>
      <w:tr w:rsidR="00B03B19" w:rsidRPr="00210AC6" w14:paraId="7236D15C" w14:textId="77777777" w:rsidTr="00B03B19">
        <w:tc>
          <w:tcPr>
            <w:tcW w:w="715" w:type="pct"/>
          </w:tcPr>
          <w:p w14:paraId="69BEB1D2" w14:textId="4A1F3C88" w:rsidR="00B03B19" w:rsidRPr="00A96CE2" w:rsidRDefault="00B03B19" w:rsidP="00B03B19">
            <w:pPr>
              <w:rPr>
                <w:rFonts w:cs="Arial"/>
                <w:b/>
                <w:bCs/>
                <w:szCs w:val="16"/>
              </w:rPr>
            </w:pPr>
            <w:r w:rsidRPr="00A96CE2">
              <w:rPr>
                <w:b/>
                <w:bCs/>
              </w:rPr>
              <w:t xml:space="preserve">FFY 2022 </w:t>
            </w:r>
          </w:p>
        </w:tc>
        <w:tc>
          <w:tcPr>
            <w:tcW w:w="715" w:type="pct"/>
          </w:tcPr>
          <w:p w14:paraId="6EA65C2C" w14:textId="7C1F88CF" w:rsidR="00B03B19" w:rsidRPr="00210AC6" w:rsidRDefault="00B03B19" w:rsidP="00B03B19">
            <w:pPr>
              <w:rPr>
                <w:rFonts w:cs="Arial"/>
                <w:szCs w:val="16"/>
              </w:rPr>
            </w:pPr>
            <w:r w:rsidRPr="00A46401">
              <w:t>79.62%</w:t>
            </w:r>
          </w:p>
        </w:tc>
        <w:tc>
          <w:tcPr>
            <w:tcW w:w="715" w:type="pct"/>
          </w:tcPr>
          <w:p w14:paraId="542CEEB9" w14:textId="37E21014" w:rsidR="00B03B19" w:rsidRPr="00210AC6" w:rsidRDefault="00B03B19" w:rsidP="00B03B19">
            <w:pPr>
              <w:rPr>
                <w:rFonts w:cs="Arial"/>
                <w:szCs w:val="16"/>
              </w:rPr>
            </w:pPr>
            <w:r w:rsidRPr="00A46401">
              <w:t>28.07%</w:t>
            </w:r>
          </w:p>
        </w:tc>
        <w:tc>
          <w:tcPr>
            <w:tcW w:w="714" w:type="pct"/>
          </w:tcPr>
          <w:p w14:paraId="082867DD" w14:textId="7F23B051" w:rsidR="00B03B19" w:rsidRPr="00210AC6" w:rsidRDefault="00B03B19" w:rsidP="00B03B19">
            <w:pPr>
              <w:rPr>
                <w:rFonts w:cs="Arial"/>
                <w:szCs w:val="16"/>
              </w:rPr>
            </w:pPr>
            <w:r w:rsidRPr="00A46401">
              <w:t>79.64%</w:t>
            </w:r>
          </w:p>
        </w:tc>
        <w:tc>
          <w:tcPr>
            <w:tcW w:w="714" w:type="pct"/>
          </w:tcPr>
          <w:p w14:paraId="798EA0C8" w14:textId="2776FB61" w:rsidR="00B03B19" w:rsidRPr="00210AC6" w:rsidRDefault="00B03B19" w:rsidP="00B03B19">
            <w:pPr>
              <w:rPr>
                <w:rFonts w:cs="Arial"/>
                <w:szCs w:val="16"/>
              </w:rPr>
            </w:pPr>
            <w:r w:rsidRPr="00A46401">
              <w:t>26.55%</w:t>
            </w:r>
          </w:p>
        </w:tc>
        <w:tc>
          <w:tcPr>
            <w:tcW w:w="714" w:type="pct"/>
          </w:tcPr>
          <w:p w14:paraId="53B8C0FF" w14:textId="1ABA1A1C" w:rsidR="00B03B19" w:rsidRPr="00210AC6" w:rsidRDefault="00B03B19" w:rsidP="00B03B19">
            <w:pPr>
              <w:rPr>
                <w:rFonts w:cs="Arial"/>
                <w:szCs w:val="16"/>
              </w:rPr>
            </w:pPr>
            <w:r w:rsidRPr="00A46401">
              <w:t>77.10%</w:t>
            </w:r>
          </w:p>
        </w:tc>
        <w:tc>
          <w:tcPr>
            <w:tcW w:w="713" w:type="pct"/>
          </w:tcPr>
          <w:p w14:paraId="71D0CC34" w14:textId="38E23520" w:rsidR="00B03B19" w:rsidRPr="00210AC6" w:rsidRDefault="00B03B19" w:rsidP="00B03B19">
            <w:pPr>
              <w:rPr>
                <w:rFonts w:cs="Arial"/>
                <w:szCs w:val="16"/>
              </w:rPr>
            </w:pPr>
            <w:r w:rsidRPr="00A46401">
              <w:t>31.12%</w:t>
            </w:r>
          </w:p>
        </w:tc>
      </w:tr>
      <w:tr w:rsidR="00A96CE2" w:rsidRPr="00210AC6" w14:paraId="135D1E67" w14:textId="77777777" w:rsidTr="00B03B19">
        <w:tc>
          <w:tcPr>
            <w:tcW w:w="715" w:type="pct"/>
          </w:tcPr>
          <w:p w14:paraId="69E847AA" w14:textId="2B61FD82" w:rsidR="00A96CE2" w:rsidRPr="00A96CE2" w:rsidRDefault="00A96CE2" w:rsidP="00A96CE2">
            <w:pPr>
              <w:rPr>
                <w:rFonts w:cs="Arial"/>
                <w:b/>
                <w:bCs/>
                <w:szCs w:val="16"/>
              </w:rPr>
            </w:pPr>
            <w:r w:rsidRPr="00A96CE2">
              <w:rPr>
                <w:b/>
                <w:bCs/>
              </w:rPr>
              <w:t xml:space="preserve">FFY 2021 </w:t>
            </w:r>
          </w:p>
        </w:tc>
        <w:tc>
          <w:tcPr>
            <w:tcW w:w="715" w:type="pct"/>
          </w:tcPr>
          <w:p w14:paraId="0F12421E" w14:textId="435DC4F0" w:rsidR="00A96CE2" w:rsidRPr="00210AC6" w:rsidRDefault="00A96CE2" w:rsidP="00A96CE2">
            <w:pPr>
              <w:rPr>
                <w:rFonts w:cs="Arial"/>
                <w:szCs w:val="16"/>
              </w:rPr>
            </w:pPr>
            <w:r w:rsidRPr="00902025">
              <w:t>75.00%</w:t>
            </w:r>
          </w:p>
        </w:tc>
        <w:tc>
          <w:tcPr>
            <w:tcW w:w="715" w:type="pct"/>
          </w:tcPr>
          <w:p w14:paraId="4A7F27F4" w14:textId="16E8DAC9" w:rsidR="00A96CE2" w:rsidRPr="00210AC6" w:rsidRDefault="00A96CE2" w:rsidP="00A96CE2">
            <w:pPr>
              <w:rPr>
                <w:rFonts w:cs="Arial"/>
                <w:szCs w:val="16"/>
              </w:rPr>
            </w:pPr>
            <w:r w:rsidRPr="00902025">
              <w:t>35.19%</w:t>
            </w:r>
          </w:p>
        </w:tc>
        <w:tc>
          <w:tcPr>
            <w:tcW w:w="714" w:type="pct"/>
          </w:tcPr>
          <w:p w14:paraId="0B2C982E" w14:textId="60B64CC6" w:rsidR="00A96CE2" w:rsidRPr="00210AC6" w:rsidRDefault="00A96CE2" w:rsidP="00A96CE2">
            <w:pPr>
              <w:rPr>
                <w:rFonts w:cs="Arial"/>
                <w:szCs w:val="16"/>
              </w:rPr>
            </w:pPr>
            <w:r w:rsidRPr="00902025">
              <w:t>76.06%</w:t>
            </w:r>
          </w:p>
        </w:tc>
        <w:tc>
          <w:tcPr>
            <w:tcW w:w="714" w:type="pct"/>
          </w:tcPr>
          <w:p w14:paraId="48D6DCB3" w14:textId="035BCB73" w:rsidR="00A96CE2" w:rsidRPr="00210AC6" w:rsidRDefault="00A96CE2" w:rsidP="00A96CE2">
            <w:pPr>
              <w:rPr>
                <w:rFonts w:cs="Arial"/>
                <w:szCs w:val="16"/>
              </w:rPr>
            </w:pPr>
            <w:r w:rsidRPr="00902025">
              <w:t>33.87%</w:t>
            </w:r>
          </w:p>
        </w:tc>
        <w:tc>
          <w:tcPr>
            <w:tcW w:w="714" w:type="pct"/>
          </w:tcPr>
          <w:p w14:paraId="75DD9D82" w14:textId="41901A3C" w:rsidR="00A96CE2" w:rsidRPr="00210AC6" w:rsidRDefault="00A96CE2" w:rsidP="00A96CE2">
            <w:pPr>
              <w:rPr>
                <w:rFonts w:cs="Arial"/>
                <w:szCs w:val="16"/>
              </w:rPr>
            </w:pPr>
            <w:r w:rsidRPr="00902025">
              <w:t>75.85%</w:t>
            </w:r>
          </w:p>
        </w:tc>
        <w:tc>
          <w:tcPr>
            <w:tcW w:w="713" w:type="pct"/>
          </w:tcPr>
          <w:p w14:paraId="51F0864D" w14:textId="7593AA05" w:rsidR="00A96CE2" w:rsidRPr="00210AC6" w:rsidRDefault="00A96CE2" w:rsidP="00A96CE2">
            <w:pPr>
              <w:rPr>
                <w:rFonts w:cs="Arial"/>
                <w:szCs w:val="16"/>
              </w:rPr>
            </w:pPr>
            <w:r w:rsidRPr="00902025">
              <w:t>37.79%</w:t>
            </w:r>
          </w:p>
        </w:tc>
      </w:tr>
    </w:tbl>
    <w:p w14:paraId="3193F46C" w14:textId="77777777" w:rsidR="004A7ECD" w:rsidRDefault="004A7ECD" w:rsidP="000135C2">
      <w:pPr>
        <w:rPr>
          <w:rFonts w:cs="Arial"/>
          <w:b/>
          <w:bCs/>
          <w:szCs w:val="16"/>
        </w:rPr>
      </w:pPr>
    </w:p>
    <w:p w14:paraId="74389200" w14:textId="276077B0" w:rsidR="004A7ECD" w:rsidRPr="00D731C8" w:rsidRDefault="00976350">
      <w:pPr>
        <w:spacing w:before="0" w:after="200" w:line="276" w:lineRule="auto"/>
        <w:rPr>
          <w:rFonts w:cs="Arial"/>
          <w:b/>
          <w:bCs/>
          <w:szCs w:val="16"/>
        </w:rPr>
      </w:pPr>
      <w:r w:rsidRPr="00D731C8">
        <w:rPr>
          <w:b/>
          <w:bCs/>
          <w:szCs w:val="16"/>
        </w:rPr>
        <w:t xml:space="preserve">(1) For a detailed explanation of how the Compliance Score, Results Score, and the Results-Driven Accountability Percentage and Determination were calculated, review "How the Department Made Determinations under Section 616(d) of the </w:t>
      </w:r>
      <w:r w:rsidRPr="00D731C8">
        <w:rPr>
          <w:b/>
          <w:bCs/>
          <w:i/>
          <w:szCs w:val="16"/>
        </w:rPr>
        <w:t>Individuals with Disabilities Education Act</w:t>
      </w:r>
      <w:r w:rsidRPr="00D731C8">
        <w:rPr>
          <w:b/>
          <w:bCs/>
          <w:szCs w:val="16"/>
        </w:rPr>
        <w:t xml:space="preserve"> in 2024: Part </w:t>
      </w:r>
      <w:r w:rsidR="00AB65CA">
        <w:rPr>
          <w:b/>
          <w:bCs/>
          <w:szCs w:val="16"/>
        </w:rPr>
        <w:t>C</w:t>
      </w:r>
      <w:r w:rsidRPr="00D731C8">
        <w:rPr>
          <w:b/>
          <w:bCs/>
          <w:szCs w:val="16"/>
        </w:rPr>
        <w:t>."</w:t>
      </w:r>
      <w:r w:rsidR="004A7ECD" w:rsidRPr="00D731C8">
        <w:rPr>
          <w:rFonts w:cs="Arial"/>
          <w:b/>
          <w:bCs/>
          <w:szCs w:val="16"/>
        </w:rPr>
        <w:br w:type="page"/>
      </w:r>
    </w:p>
    <w:p w14:paraId="250C6640" w14:textId="711AA564" w:rsidR="00A14B29" w:rsidRPr="00210AC6" w:rsidRDefault="000135C2" w:rsidP="000135C2">
      <w:pPr>
        <w:rPr>
          <w:rFonts w:cs="Arial"/>
          <w:b/>
          <w:bCs/>
          <w:szCs w:val="16"/>
        </w:rPr>
      </w:pPr>
      <w:r w:rsidRPr="00210AC6">
        <w:rPr>
          <w:rFonts w:cs="Arial"/>
          <w:b/>
          <w:bCs/>
          <w:szCs w:val="16"/>
        </w:rPr>
        <w:lastRenderedPageBreak/>
        <w:t>2024 Part C Compliance Matrix</w:t>
      </w:r>
    </w:p>
    <w:tbl>
      <w:tblPr>
        <w:tblStyle w:val="TableGrid1"/>
        <w:tblW w:w="5004" w:type="pct"/>
        <w:tblLayout w:type="fixed"/>
        <w:tblLook w:val="04A0" w:firstRow="1" w:lastRow="0" w:firstColumn="1" w:lastColumn="0" w:noHBand="0" w:noVBand="1"/>
        <w:tblCaption w:val="CENNSRSTCFFYCMP"/>
      </w:tblPr>
      <w:tblGrid>
        <w:gridCol w:w="5408"/>
        <w:gridCol w:w="1797"/>
        <w:gridCol w:w="1797"/>
        <w:gridCol w:w="1797"/>
      </w:tblGrid>
      <w:tr w:rsidR="000135C2" w:rsidRPr="00210AC6" w14:paraId="5773F686" w14:textId="77777777" w:rsidTr="00C452AB">
        <w:trPr>
          <w:tblHeader/>
        </w:trPr>
        <w:tc>
          <w:tcPr>
            <w:tcW w:w="2504" w:type="pct"/>
          </w:tcPr>
          <w:p w14:paraId="0362FF60" w14:textId="092F6E5A" w:rsidR="000135C2" w:rsidRPr="00210AC6" w:rsidRDefault="000135C2" w:rsidP="00C452AB">
            <w:pPr>
              <w:rPr>
                <w:rFonts w:cs="Arial"/>
                <w:b/>
                <w:bCs/>
                <w:szCs w:val="16"/>
              </w:rPr>
            </w:pPr>
            <w:r w:rsidRPr="00210AC6">
              <w:rPr>
                <w:rFonts w:cs="Arial"/>
                <w:b/>
                <w:bCs/>
                <w:szCs w:val="16"/>
              </w:rPr>
              <w:t xml:space="preserve">Part C Compliance Indicator </w:t>
            </w:r>
            <w:r w:rsidR="00976350">
              <w:rPr>
                <w:rFonts w:cs="Arial"/>
                <w:szCs w:val="16"/>
              </w:rPr>
              <w:t>(2)</w:t>
            </w:r>
          </w:p>
        </w:tc>
        <w:tc>
          <w:tcPr>
            <w:tcW w:w="832" w:type="pct"/>
          </w:tcPr>
          <w:p w14:paraId="07EBA62C" w14:textId="77777777" w:rsidR="000135C2" w:rsidRPr="00210AC6" w:rsidRDefault="000135C2" w:rsidP="00C452AB">
            <w:pPr>
              <w:rPr>
                <w:rFonts w:cs="Arial"/>
                <w:b/>
                <w:bCs/>
                <w:szCs w:val="16"/>
              </w:rPr>
            </w:pPr>
            <w:r w:rsidRPr="00210AC6">
              <w:rPr>
                <w:rFonts w:cs="Arial"/>
                <w:b/>
                <w:bCs/>
                <w:szCs w:val="16"/>
              </w:rPr>
              <w:t xml:space="preserve">Performance (%) </w:t>
            </w:r>
          </w:p>
        </w:tc>
        <w:tc>
          <w:tcPr>
            <w:tcW w:w="832" w:type="pct"/>
          </w:tcPr>
          <w:p w14:paraId="7652A479" w14:textId="7A79808D" w:rsidR="000135C2" w:rsidRPr="00210AC6" w:rsidRDefault="000135C2" w:rsidP="00C452AB">
            <w:pPr>
              <w:rPr>
                <w:rFonts w:cs="Arial"/>
                <w:b/>
                <w:bCs/>
                <w:szCs w:val="16"/>
              </w:rPr>
            </w:pPr>
            <w:r w:rsidRPr="00210AC6">
              <w:rPr>
                <w:rFonts w:cs="Arial"/>
                <w:b/>
                <w:bCs/>
                <w:szCs w:val="16"/>
              </w:rPr>
              <w:t xml:space="preserve">Full Correction of Findings of Noncompliance Identified in FFY 2021 </w:t>
            </w:r>
            <w:r w:rsidR="00976350">
              <w:rPr>
                <w:rFonts w:cs="Arial"/>
                <w:szCs w:val="16"/>
              </w:rPr>
              <w:t>(3)</w:t>
            </w:r>
          </w:p>
        </w:tc>
        <w:tc>
          <w:tcPr>
            <w:tcW w:w="832" w:type="pct"/>
          </w:tcPr>
          <w:p w14:paraId="5B7CA287" w14:textId="77777777" w:rsidR="000135C2" w:rsidRPr="00210AC6" w:rsidRDefault="000135C2" w:rsidP="00C452AB">
            <w:pPr>
              <w:rPr>
                <w:rFonts w:cs="Arial"/>
                <w:b/>
                <w:bCs/>
                <w:szCs w:val="16"/>
              </w:rPr>
            </w:pPr>
            <w:r w:rsidRPr="00210AC6">
              <w:rPr>
                <w:rFonts w:cs="Arial"/>
                <w:b/>
                <w:bCs/>
                <w:szCs w:val="16"/>
              </w:rPr>
              <w:t>Score</w:t>
            </w:r>
          </w:p>
        </w:tc>
      </w:tr>
      <w:tr w:rsidR="00CD6106" w:rsidRPr="00210AC6" w14:paraId="0F78BCB1" w14:textId="77777777" w:rsidTr="00C452AB">
        <w:tc>
          <w:tcPr>
            <w:tcW w:w="2504" w:type="pct"/>
          </w:tcPr>
          <w:p w14:paraId="16C55896" w14:textId="39ECCBBA" w:rsidR="00CD6106" w:rsidRPr="00744585" w:rsidRDefault="00CD6106" w:rsidP="00CD6106">
            <w:pPr>
              <w:rPr>
                <w:rFonts w:cs="Arial"/>
                <w:b/>
                <w:bCs/>
                <w:szCs w:val="16"/>
              </w:rPr>
            </w:pPr>
            <w:r w:rsidRPr="00744585">
              <w:rPr>
                <w:b/>
                <w:bCs/>
              </w:rPr>
              <w:t>Indicator 1: Timely service provision</w:t>
            </w:r>
          </w:p>
        </w:tc>
        <w:tc>
          <w:tcPr>
            <w:tcW w:w="832" w:type="pct"/>
          </w:tcPr>
          <w:p w14:paraId="2BE4272B" w14:textId="2224AC6A" w:rsidR="00CD6106" w:rsidRPr="00210AC6" w:rsidRDefault="00CD6106" w:rsidP="00CD6106">
            <w:pPr>
              <w:rPr>
                <w:rFonts w:cs="Arial"/>
                <w:szCs w:val="16"/>
              </w:rPr>
            </w:pPr>
            <w:r w:rsidRPr="00507C8C">
              <w:t>86.36%</w:t>
            </w:r>
          </w:p>
        </w:tc>
        <w:tc>
          <w:tcPr>
            <w:tcW w:w="832" w:type="pct"/>
          </w:tcPr>
          <w:p w14:paraId="6ABF6AB2" w14:textId="6D5B638F" w:rsidR="00CD6106" w:rsidRPr="00210AC6" w:rsidRDefault="00CD6106" w:rsidP="00CD6106">
            <w:pPr>
              <w:rPr>
                <w:rFonts w:cs="Arial"/>
                <w:szCs w:val="16"/>
              </w:rPr>
            </w:pPr>
            <w:r w:rsidRPr="00952E24">
              <w:t>NO</w:t>
            </w:r>
          </w:p>
        </w:tc>
        <w:tc>
          <w:tcPr>
            <w:tcW w:w="832" w:type="pct"/>
          </w:tcPr>
          <w:p w14:paraId="4C6D12D8" w14:textId="0B3C844F" w:rsidR="00CD6106" w:rsidRPr="00210AC6" w:rsidRDefault="00CD6106" w:rsidP="00CD6106">
            <w:pPr>
              <w:rPr>
                <w:rFonts w:cs="Arial"/>
                <w:szCs w:val="16"/>
              </w:rPr>
            </w:pPr>
            <w:r w:rsidRPr="00A55644">
              <w:t>1</w:t>
            </w:r>
          </w:p>
        </w:tc>
      </w:tr>
      <w:tr w:rsidR="00CD6106" w:rsidRPr="00210AC6" w14:paraId="49964228" w14:textId="77777777" w:rsidTr="00C452AB">
        <w:tc>
          <w:tcPr>
            <w:tcW w:w="2504" w:type="pct"/>
          </w:tcPr>
          <w:p w14:paraId="25EB8C13" w14:textId="46B7DF5A" w:rsidR="00CD6106" w:rsidRPr="00744585" w:rsidRDefault="00CD6106" w:rsidP="00CD6106">
            <w:pPr>
              <w:rPr>
                <w:rFonts w:cs="Arial"/>
                <w:b/>
                <w:bCs/>
                <w:szCs w:val="16"/>
              </w:rPr>
            </w:pPr>
            <w:r w:rsidRPr="00744585">
              <w:rPr>
                <w:b/>
                <w:bCs/>
              </w:rPr>
              <w:t>Indicator 7: 45-day timeline</w:t>
            </w:r>
          </w:p>
        </w:tc>
        <w:tc>
          <w:tcPr>
            <w:tcW w:w="832" w:type="pct"/>
          </w:tcPr>
          <w:p w14:paraId="58696A1A" w14:textId="6B178415" w:rsidR="00CD6106" w:rsidRPr="00210AC6" w:rsidRDefault="00CD6106" w:rsidP="00CD6106">
            <w:pPr>
              <w:rPr>
                <w:rFonts w:cs="Arial"/>
                <w:szCs w:val="16"/>
              </w:rPr>
            </w:pPr>
            <w:r w:rsidRPr="00507C8C">
              <w:t>96.26%</w:t>
            </w:r>
          </w:p>
        </w:tc>
        <w:tc>
          <w:tcPr>
            <w:tcW w:w="832" w:type="pct"/>
          </w:tcPr>
          <w:p w14:paraId="5F183FEF" w14:textId="40ACE9C9" w:rsidR="00CD6106" w:rsidRPr="00210AC6" w:rsidRDefault="00CD6106" w:rsidP="00CD6106">
            <w:pPr>
              <w:rPr>
                <w:rFonts w:cs="Arial"/>
                <w:szCs w:val="16"/>
              </w:rPr>
            </w:pPr>
            <w:r w:rsidRPr="00952E24">
              <w:t>NO</w:t>
            </w:r>
          </w:p>
        </w:tc>
        <w:tc>
          <w:tcPr>
            <w:tcW w:w="832" w:type="pct"/>
          </w:tcPr>
          <w:p w14:paraId="4059A185" w14:textId="15F2592F" w:rsidR="00CD6106" w:rsidRPr="00210AC6" w:rsidRDefault="00CD6106" w:rsidP="00CD6106">
            <w:pPr>
              <w:rPr>
                <w:rFonts w:cs="Arial"/>
                <w:szCs w:val="16"/>
              </w:rPr>
            </w:pPr>
            <w:r w:rsidRPr="00A55644">
              <w:t>2</w:t>
            </w:r>
          </w:p>
        </w:tc>
      </w:tr>
      <w:tr w:rsidR="00CD6106" w:rsidRPr="00210AC6" w14:paraId="3178E6C8" w14:textId="77777777" w:rsidTr="00C452AB">
        <w:tc>
          <w:tcPr>
            <w:tcW w:w="2504" w:type="pct"/>
          </w:tcPr>
          <w:p w14:paraId="2474E661" w14:textId="014447CB" w:rsidR="00CD6106" w:rsidRPr="00744585" w:rsidRDefault="00CD6106" w:rsidP="00CD6106">
            <w:pPr>
              <w:rPr>
                <w:rFonts w:cs="Arial"/>
                <w:b/>
                <w:bCs/>
                <w:szCs w:val="16"/>
              </w:rPr>
            </w:pPr>
            <w:r w:rsidRPr="00744585">
              <w:rPr>
                <w:b/>
                <w:bCs/>
              </w:rPr>
              <w:t>Indicator 8A: Timely transition plan</w:t>
            </w:r>
          </w:p>
        </w:tc>
        <w:tc>
          <w:tcPr>
            <w:tcW w:w="832" w:type="pct"/>
          </w:tcPr>
          <w:p w14:paraId="33B6D5A8" w14:textId="433954B6" w:rsidR="00CD6106" w:rsidRPr="00210AC6" w:rsidRDefault="00CD6106" w:rsidP="00CD6106">
            <w:pPr>
              <w:rPr>
                <w:rFonts w:cs="Arial"/>
                <w:szCs w:val="16"/>
              </w:rPr>
            </w:pPr>
            <w:r w:rsidRPr="00507C8C">
              <w:t>100.00%</w:t>
            </w:r>
          </w:p>
        </w:tc>
        <w:tc>
          <w:tcPr>
            <w:tcW w:w="832" w:type="pct"/>
          </w:tcPr>
          <w:p w14:paraId="082F4D46" w14:textId="2147F3C3" w:rsidR="00CD6106" w:rsidRPr="00210AC6" w:rsidRDefault="00CD6106" w:rsidP="00CD6106">
            <w:pPr>
              <w:rPr>
                <w:rFonts w:cs="Arial"/>
                <w:szCs w:val="16"/>
              </w:rPr>
            </w:pPr>
            <w:r w:rsidRPr="00952E24">
              <w:t>NO</w:t>
            </w:r>
          </w:p>
        </w:tc>
        <w:tc>
          <w:tcPr>
            <w:tcW w:w="832" w:type="pct"/>
          </w:tcPr>
          <w:p w14:paraId="19B43599" w14:textId="6DAFB7B2" w:rsidR="00CD6106" w:rsidRPr="00210AC6" w:rsidRDefault="00CD6106" w:rsidP="00CD6106">
            <w:pPr>
              <w:rPr>
                <w:rFonts w:cs="Arial"/>
                <w:szCs w:val="16"/>
              </w:rPr>
            </w:pPr>
            <w:r w:rsidRPr="00A55644">
              <w:t>2</w:t>
            </w:r>
          </w:p>
        </w:tc>
      </w:tr>
      <w:tr w:rsidR="00CD6106" w:rsidRPr="00210AC6" w14:paraId="36A4B7FF" w14:textId="77777777" w:rsidTr="00C452AB">
        <w:tc>
          <w:tcPr>
            <w:tcW w:w="2504" w:type="pct"/>
          </w:tcPr>
          <w:p w14:paraId="063A42FA" w14:textId="409F9B89" w:rsidR="00CD6106" w:rsidRPr="00744585" w:rsidRDefault="00CD6106" w:rsidP="00CD6106">
            <w:pPr>
              <w:rPr>
                <w:rFonts w:cs="Arial"/>
                <w:b/>
                <w:bCs/>
                <w:szCs w:val="16"/>
              </w:rPr>
            </w:pPr>
            <w:r w:rsidRPr="00744585">
              <w:rPr>
                <w:b/>
                <w:bCs/>
              </w:rPr>
              <w:t>Indicator 8B: Transition notification</w:t>
            </w:r>
          </w:p>
        </w:tc>
        <w:tc>
          <w:tcPr>
            <w:tcW w:w="832" w:type="pct"/>
          </w:tcPr>
          <w:p w14:paraId="04282CC4" w14:textId="363A58FC" w:rsidR="00CD6106" w:rsidRPr="00210AC6" w:rsidRDefault="00CD6106" w:rsidP="00CD6106">
            <w:pPr>
              <w:rPr>
                <w:rFonts w:cs="Arial"/>
                <w:szCs w:val="16"/>
              </w:rPr>
            </w:pPr>
            <w:r w:rsidRPr="00507C8C">
              <w:t>99.76%</w:t>
            </w:r>
          </w:p>
        </w:tc>
        <w:tc>
          <w:tcPr>
            <w:tcW w:w="832" w:type="pct"/>
          </w:tcPr>
          <w:p w14:paraId="144A1AAC" w14:textId="3EFE5F13" w:rsidR="00CD6106" w:rsidRPr="00210AC6" w:rsidRDefault="00CD6106" w:rsidP="00CD6106">
            <w:pPr>
              <w:rPr>
                <w:rFonts w:cs="Arial"/>
                <w:szCs w:val="16"/>
              </w:rPr>
            </w:pPr>
            <w:r w:rsidRPr="00952E24">
              <w:t>N/A</w:t>
            </w:r>
          </w:p>
        </w:tc>
        <w:tc>
          <w:tcPr>
            <w:tcW w:w="832" w:type="pct"/>
          </w:tcPr>
          <w:p w14:paraId="79EDE630" w14:textId="396018F4" w:rsidR="00CD6106" w:rsidRPr="00210AC6" w:rsidRDefault="00CD6106" w:rsidP="00CD6106">
            <w:pPr>
              <w:rPr>
                <w:rFonts w:cs="Arial"/>
                <w:szCs w:val="16"/>
              </w:rPr>
            </w:pPr>
            <w:r w:rsidRPr="00A55644">
              <w:t>2</w:t>
            </w:r>
          </w:p>
        </w:tc>
      </w:tr>
      <w:tr w:rsidR="00CD6106" w:rsidRPr="00210AC6" w14:paraId="03F7FEC0" w14:textId="77777777" w:rsidTr="00C452AB">
        <w:tc>
          <w:tcPr>
            <w:tcW w:w="2504" w:type="pct"/>
          </w:tcPr>
          <w:p w14:paraId="68339584" w14:textId="21FB775D" w:rsidR="00CD6106" w:rsidRPr="00744585" w:rsidRDefault="00CD6106" w:rsidP="00CD6106">
            <w:pPr>
              <w:rPr>
                <w:rFonts w:cs="Arial"/>
                <w:b/>
                <w:bCs/>
                <w:szCs w:val="16"/>
              </w:rPr>
            </w:pPr>
            <w:r w:rsidRPr="00744585">
              <w:rPr>
                <w:b/>
                <w:bCs/>
              </w:rPr>
              <w:t>Indicator 8C: Timely transition conference</w:t>
            </w:r>
          </w:p>
        </w:tc>
        <w:tc>
          <w:tcPr>
            <w:tcW w:w="832" w:type="pct"/>
          </w:tcPr>
          <w:p w14:paraId="1DFBC7AA" w14:textId="4ADC5371" w:rsidR="00CD6106" w:rsidRPr="00210AC6" w:rsidRDefault="00CD6106" w:rsidP="00CD6106">
            <w:pPr>
              <w:rPr>
                <w:rFonts w:cs="Arial"/>
                <w:szCs w:val="16"/>
              </w:rPr>
            </w:pPr>
            <w:r w:rsidRPr="00507C8C">
              <w:t>99.59%</w:t>
            </w:r>
          </w:p>
        </w:tc>
        <w:tc>
          <w:tcPr>
            <w:tcW w:w="832" w:type="pct"/>
          </w:tcPr>
          <w:p w14:paraId="5F278F03" w14:textId="64084F84" w:rsidR="00CD6106" w:rsidRPr="00210AC6" w:rsidRDefault="00CD6106" w:rsidP="00CD6106">
            <w:pPr>
              <w:rPr>
                <w:rFonts w:cs="Arial"/>
                <w:szCs w:val="16"/>
              </w:rPr>
            </w:pPr>
            <w:r w:rsidRPr="00952E24">
              <w:t>NO</w:t>
            </w:r>
          </w:p>
        </w:tc>
        <w:tc>
          <w:tcPr>
            <w:tcW w:w="832" w:type="pct"/>
          </w:tcPr>
          <w:p w14:paraId="0BA64028" w14:textId="34BADFBB" w:rsidR="00CD6106" w:rsidRPr="00210AC6" w:rsidRDefault="00CD6106" w:rsidP="00CD6106">
            <w:pPr>
              <w:rPr>
                <w:rFonts w:cs="Arial"/>
                <w:szCs w:val="16"/>
              </w:rPr>
            </w:pPr>
            <w:r w:rsidRPr="00A55644">
              <w:t>2</w:t>
            </w:r>
          </w:p>
        </w:tc>
      </w:tr>
      <w:tr w:rsidR="00CD6106" w:rsidRPr="00210AC6" w14:paraId="32E4E6F4" w14:textId="77777777" w:rsidTr="00CD6106">
        <w:tc>
          <w:tcPr>
            <w:tcW w:w="2504" w:type="pct"/>
          </w:tcPr>
          <w:p w14:paraId="5BF4B269" w14:textId="077DB3CA" w:rsidR="00CD6106" w:rsidRPr="00744585" w:rsidRDefault="00CD6106" w:rsidP="00CD6106">
            <w:pPr>
              <w:rPr>
                <w:rFonts w:cs="Arial"/>
                <w:b/>
                <w:bCs/>
                <w:szCs w:val="16"/>
              </w:rPr>
            </w:pPr>
            <w:r w:rsidRPr="00744585">
              <w:rPr>
                <w:b/>
                <w:bCs/>
              </w:rPr>
              <w:t>Timely and Accurate State-Reported Data</w:t>
            </w:r>
          </w:p>
        </w:tc>
        <w:tc>
          <w:tcPr>
            <w:tcW w:w="832" w:type="pct"/>
          </w:tcPr>
          <w:p w14:paraId="556D5BDB" w14:textId="6626AD04"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5F69C81C" w14:textId="724484CE" w:rsidR="00CD6106" w:rsidRPr="00210AC6" w:rsidRDefault="00CD6106" w:rsidP="00CD6106">
            <w:pPr>
              <w:rPr>
                <w:rFonts w:cs="Arial"/>
                <w:szCs w:val="16"/>
              </w:rPr>
            </w:pPr>
          </w:p>
        </w:tc>
        <w:tc>
          <w:tcPr>
            <w:tcW w:w="832" w:type="pct"/>
          </w:tcPr>
          <w:p w14:paraId="782EB50F" w14:textId="48C7E70F" w:rsidR="00CD6106" w:rsidRPr="00210AC6" w:rsidRDefault="00CD6106" w:rsidP="00CD6106">
            <w:pPr>
              <w:rPr>
                <w:rFonts w:cs="Arial"/>
                <w:szCs w:val="16"/>
              </w:rPr>
            </w:pPr>
            <w:r w:rsidRPr="00A55644">
              <w:t>2</w:t>
            </w:r>
          </w:p>
        </w:tc>
      </w:tr>
      <w:tr w:rsidR="00CD6106" w:rsidRPr="00210AC6" w14:paraId="7F568EB3" w14:textId="77777777" w:rsidTr="00CD6106">
        <w:tc>
          <w:tcPr>
            <w:tcW w:w="2504" w:type="pct"/>
          </w:tcPr>
          <w:p w14:paraId="127CE4B4" w14:textId="176F6137" w:rsidR="00CD6106" w:rsidRPr="00744585" w:rsidRDefault="00CD6106" w:rsidP="00CD6106">
            <w:pPr>
              <w:rPr>
                <w:rFonts w:cs="Arial"/>
                <w:b/>
                <w:bCs/>
                <w:szCs w:val="16"/>
              </w:rPr>
            </w:pPr>
            <w:r w:rsidRPr="00744585">
              <w:rPr>
                <w:b/>
                <w:bCs/>
              </w:rPr>
              <w:t>Timely State Complaint Decisions</w:t>
            </w:r>
          </w:p>
        </w:tc>
        <w:tc>
          <w:tcPr>
            <w:tcW w:w="832" w:type="pct"/>
          </w:tcPr>
          <w:p w14:paraId="5C5E7A7F" w14:textId="544E66B7"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2F8E4150" w14:textId="77777777" w:rsidR="00CD6106" w:rsidRPr="00210AC6" w:rsidRDefault="00CD6106" w:rsidP="00CD6106">
            <w:pPr>
              <w:rPr>
                <w:rFonts w:cs="Arial"/>
                <w:szCs w:val="16"/>
              </w:rPr>
            </w:pPr>
          </w:p>
        </w:tc>
        <w:tc>
          <w:tcPr>
            <w:tcW w:w="832" w:type="pct"/>
            <w:shd w:val="clear" w:color="auto" w:fill="auto"/>
          </w:tcPr>
          <w:p w14:paraId="7F6C7878" w14:textId="71F5AE25" w:rsidR="00CD6106" w:rsidRPr="00210AC6" w:rsidRDefault="00CD6106" w:rsidP="00CD6106">
            <w:pPr>
              <w:rPr>
                <w:rFonts w:cs="Arial"/>
                <w:szCs w:val="16"/>
              </w:rPr>
            </w:pPr>
            <w:r w:rsidRPr="00A55644">
              <w:t>2</w:t>
            </w:r>
          </w:p>
        </w:tc>
      </w:tr>
      <w:tr w:rsidR="00CD6106" w:rsidRPr="00210AC6" w14:paraId="6477FACC" w14:textId="77777777" w:rsidTr="00CD6106">
        <w:tc>
          <w:tcPr>
            <w:tcW w:w="2504" w:type="pct"/>
          </w:tcPr>
          <w:p w14:paraId="36AD53A7" w14:textId="10A96C7C" w:rsidR="00CD6106" w:rsidRPr="00744585" w:rsidRDefault="00CD6106" w:rsidP="00CD6106">
            <w:pPr>
              <w:rPr>
                <w:rFonts w:cs="Arial"/>
                <w:b/>
                <w:bCs/>
                <w:szCs w:val="16"/>
              </w:rPr>
            </w:pPr>
            <w:r w:rsidRPr="00744585">
              <w:rPr>
                <w:b/>
                <w:bCs/>
              </w:rPr>
              <w:t>Timely Due Process Hearing Decisions</w:t>
            </w:r>
          </w:p>
        </w:tc>
        <w:tc>
          <w:tcPr>
            <w:tcW w:w="832" w:type="pct"/>
          </w:tcPr>
          <w:p w14:paraId="326EF36D" w14:textId="1E4E29EA"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657D7A8E" w14:textId="77777777" w:rsidR="00CD6106" w:rsidRPr="00210AC6" w:rsidRDefault="00CD6106" w:rsidP="00CD6106">
            <w:pPr>
              <w:rPr>
                <w:rFonts w:cs="Arial"/>
                <w:szCs w:val="16"/>
              </w:rPr>
            </w:pPr>
          </w:p>
        </w:tc>
        <w:tc>
          <w:tcPr>
            <w:tcW w:w="832" w:type="pct"/>
            <w:shd w:val="clear" w:color="auto" w:fill="auto"/>
          </w:tcPr>
          <w:p w14:paraId="19D39140" w14:textId="66532830" w:rsidR="00CD6106" w:rsidRPr="00210AC6" w:rsidRDefault="00CD6106" w:rsidP="00CD6106">
            <w:pPr>
              <w:rPr>
                <w:rFonts w:cs="Arial"/>
                <w:szCs w:val="16"/>
              </w:rPr>
            </w:pPr>
            <w:r w:rsidRPr="00A55644">
              <w:t>N/A</w:t>
            </w:r>
          </w:p>
        </w:tc>
      </w:tr>
      <w:tr w:rsidR="00CD6106" w:rsidRPr="00210AC6" w14:paraId="2D259B5E" w14:textId="77777777" w:rsidTr="00CD6106">
        <w:tc>
          <w:tcPr>
            <w:tcW w:w="2504" w:type="pct"/>
          </w:tcPr>
          <w:p w14:paraId="69DD46F0" w14:textId="59E403D9" w:rsidR="00CD6106" w:rsidRPr="00744585" w:rsidRDefault="00CD6106" w:rsidP="00CD6106">
            <w:pPr>
              <w:rPr>
                <w:rFonts w:cs="Arial"/>
                <w:b/>
                <w:bCs/>
                <w:szCs w:val="16"/>
              </w:rPr>
            </w:pPr>
            <w:r w:rsidRPr="00744585">
              <w:rPr>
                <w:b/>
                <w:bCs/>
              </w:rPr>
              <w:t>Longstanding Noncompliance</w:t>
            </w:r>
          </w:p>
        </w:tc>
        <w:tc>
          <w:tcPr>
            <w:tcW w:w="832" w:type="pct"/>
            <w:shd w:val="clear" w:color="auto" w:fill="BFBFBF" w:themeFill="background1" w:themeFillShade="BF"/>
          </w:tcPr>
          <w:p w14:paraId="68F7556E" w14:textId="6A0D323C" w:rsidR="00CD6106" w:rsidRPr="00210AC6" w:rsidRDefault="00CD6106" w:rsidP="00CD6106">
            <w:pPr>
              <w:rPr>
                <w:rFonts w:cs="Arial"/>
                <w:szCs w:val="16"/>
              </w:rPr>
            </w:pPr>
          </w:p>
        </w:tc>
        <w:tc>
          <w:tcPr>
            <w:tcW w:w="832" w:type="pct"/>
            <w:shd w:val="clear" w:color="auto" w:fill="BFBFBF" w:themeFill="background1" w:themeFillShade="BF"/>
          </w:tcPr>
          <w:p w14:paraId="73953A8B" w14:textId="77777777" w:rsidR="00CD6106" w:rsidRPr="00210AC6" w:rsidRDefault="00CD6106" w:rsidP="00CD6106">
            <w:pPr>
              <w:rPr>
                <w:rFonts w:cs="Arial"/>
                <w:szCs w:val="16"/>
              </w:rPr>
            </w:pPr>
          </w:p>
        </w:tc>
        <w:tc>
          <w:tcPr>
            <w:tcW w:w="832" w:type="pct"/>
            <w:shd w:val="clear" w:color="auto" w:fill="auto"/>
          </w:tcPr>
          <w:p w14:paraId="3EF3E1AE" w14:textId="134BF8A5" w:rsidR="00CD6106" w:rsidRPr="00210AC6" w:rsidRDefault="00CD6106" w:rsidP="00CD6106">
            <w:pPr>
              <w:rPr>
                <w:rFonts w:cs="Arial"/>
                <w:szCs w:val="16"/>
              </w:rPr>
            </w:pPr>
            <w:r w:rsidRPr="00A55644">
              <w:t>1</w:t>
            </w:r>
          </w:p>
        </w:tc>
      </w:tr>
      <w:tr w:rsidR="00D37150" w:rsidRPr="00210AC6" w14:paraId="45A6B561" w14:textId="77777777" w:rsidTr="00CD6106">
        <w:tc>
          <w:tcPr>
            <w:tcW w:w="2504" w:type="pct"/>
          </w:tcPr>
          <w:p w14:paraId="16C61FBF" w14:textId="687D466E" w:rsidR="00D37150" w:rsidRPr="00744585" w:rsidRDefault="00A1023C" w:rsidP="00CC7B98">
            <w:pPr>
              <w:ind w:left="720"/>
              <w:rPr>
                <w:rFonts w:cs="Arial"/>
                <w:b/>
                <w:bCs/>
                <w:szCs w:val="16"/>
              </w:rPr>
            </w:pPr>
            <w:r>
              <w:rPr>
                <w:b/>
                <w:bCs/>
              </w:rPr>
              <w:t xml:space="preserve">Programmatic </w:t>
            </w:r>
            <w:r w:rsidR="00D37150" w:rsidRPr="00744585">
              <w:rPr>
                <w:b/>
                <w:bCs/>
              </w:rPr>
              <w:t>Specific Conditions</w:t>
            </w:r>
          </w:p>
        </w:tc>
        <w:tc>
          <w:tcPr>
            <w:tcW w:w="832" w:type="pct"/>
            <w:shd w:val="clear" w:color="auto" w:fill="auto"/>
          </w:tcPr>
          <w:p w14:paraId="49BC9783" w14:textId="031D5B46"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630D4E1C" w14:textId="77777777" w:rsidR="00D37150" w:rsidRPr="00210AC6" w:rsidRDefault="00D37150" w:rsidP="00D37150">
            <w:pPr>
              <w:rPr>
                <w:rFonts w:cs="Arial"/>
                <w:szCs w:val="16"/>
              </w:rPr>
            </w:pPr>
          </w:p>
        </w:tc>
        <w:tc>
          <w:tcPr>
            <w:tcW w:w="832" w:type="pct"/>
            <w:shd w:val="clear" w:color="auto" w:fill="BFBFBF" w:themeFill="background1" w:themeFillShade="BF"/>
          </w:tcPr>
          <w:p w14:paraId="107A79FE" w14:textId="08CF9082" w:rsidR="00D37150" w:rsidRPr="00210AC6" w:rsidRDefault="00D37150" w:rsidP="00D37150">
            <w:pPr>
              <w:rPr>
                <w:rFonts w:cs="Arial"/>
                <w:szCs w:val="16"/>
              </w:rPr>
            </w:pPr>
          </w:p>
        </w:tc>
      </w:tr>
      <w:tr w:rsidR="00D37150" w:rsidRPr="00210AC6" w14:paraId="60E83BF7" w14:textId="77777777" w:rsidTr="00CD6106">
        <w:tc>
          <w:tcPr>
            <w:tcW w:w="2504" w:type="pct"/>
          </w:tcPr>
          <w:p w14:paraId="2789153E" w14:textId="5D7586C7" w:rsidR="00D37150" w:rsidRPr="00744585" w:rsidRDefault="00D37150" w:rsidP="00CC7B98">
            <w:pPr>
              <w:ind w:left="720"/>
              <w:rPr>
                <w:rFonts w:cs="Arial"/>
                <w:b/>
                <w:bCs/>
                <w:szCs w:val="16"/>
              </w:rPr>
            </w:pPr>
            <w:r w:rsidRPr="00744585">
              <w:rPr>
                <w:b/>
                <w:bCs/>
              </w:rPr>
              <w:t>Uncorrected identified noncompliance</w:t>
            </w:r>
          </w:p>
        </w:tc>
        <w:tc>
          <w:tcPr>
            <w:tcW w:w="832" w:type="pct"/>
          </w:tcPr>
          <w:p w14:paraId="5100BE8B" w14:textId="38FD3580" w:rsidR="00D37150" w:rsidRPr="00210AC6" w:rsidRDefault="00D37150" w:rsidP="00D37150">
            <w:pPr>
              <w:rPr>
                <w:rFonts w:cs="Arial"/>
                <w:szCs w:val="16"/>
              </w:rPr>
            </w:pPr>
            <w:r w:rsidRPr="003511D1">
              <w:t>Yes, 2 to 4 years</w:t>
            </w:r>
          </w:p>
        </w:tc>
        <w:tc>
          <w:tcPr>
            <w:tcW w:w="832" w:type="pct"/>
            <w:shd w:val="clear" w:color="auto" w:fill="BFBFBF" w:themeFill="background1" w:themeFillShade="BF"/>
          </w:tcPr>
          <w:p w14:paraId="249ABE3A" w14:textId="77777777" w:rsidR="00D37150" w:rsidRPr="00210AC6" w:rsidRDefault="00D37150" w:rsidP="00D37150">
            <w:pPr>
              <w:rPr>
                <w:rFonts w:cs="Arial"/>
                <w:szCs w:val="16"/>
              </w:rPr>
            </w:pPr>
          </w:p>
        </w:tc>
        <w:tc>
          <w:tcPr>
            <w:tcW w:w="832" w:type="pct"/>
            <w:shd w:val="clear" w:color="auto" w:fill="BFBFBF" w:themeFill="background1" w:themeFillShade="BF"/>
          </w:tcPr>
          <w:p w14:paraId="5F8087D7" w14:textId="77777777" w:rsidR="00D37150" w:rsidRPr="00210AC6" w:rsidRDefault="00D37150" w:rsidP="00D37150">
            <w:pPr>
              <w:rPr>
                <w:rFonts w:cs="Arial"/>
                <w:szCs w:val="16"/>
              </w:rPr>
            </w:pPr>
          </w:p>
        </w:tc>
      </w:tr>
    </w:tbl>
    <w:p w14:paraId="39D2862A" w14:textId="4289FC32" w:rsidR="002D7557" w:rsidRDefault="002D7557" w:rsidP="000135C2">
      <w:pPr>
        <w:rPr>
          <w:rFonts w:cs="Arial"/>
          <w:b/>
          <w:szCs w:val="16"/>
        </w:rPr>
      </w:pPr>
    </w:p>
    <w:p w14:paraId="572A5488" w14:textId="6AAF7234" w:rsidR="00976350" w:rsidRPr="00D731C8" w:rsidRDefault="00976350" w:rsidP="00D731C8">
      <w:pPr>
        <w:spacing w:after="120"/>
        <w:rPr>
          <w:b/>
          <w:color w:val="0000FF" w:themeColor="hyperlink"/>
          <w:szCs w:val="16"/>
          <w:u w:val="single"/>
        </w:rPr>
      </w:pPr>
      <w:r w:rsidRPr="00D731C8">
        <w:rPr>
          <w:rFonts w:cs="Arial"/>
          <w:b/>
          <w:szCs w:val="16"/>
        </w:rPr>
        <w:t xml:space="preserve">(2) </w:t>
      </w:r>
      <w:r w:rsidRPr="00D731C8">
        <w:rPr>
          <w:b/>
          <w:szCs w:val="16"/>
        </w:rPr>
        <w:t xml:space="preserve">The complete language for each indicator is located in the Part </w:t>
      </w:r>
      <w:r w:rsidR="00B37A83">
        <w:rPr>
          <w:b/>
          <w:szCs w:val="16"/>
        </w:rPr>
        <w:t>C</w:t>
      </w:r>
      <w:r w:rsidR="00B37A83" w:rsidRPr="00D731C8">
        <w:rPr>
          <w:b/>
          <w:szCs w:val="16"/>
        </w:rPr>
        <w:t xml:space="preserve"> </w:t>
      </w:r>
      <w:r w:rsidRPr="00D731C8">
        <w:rPr>
          <w:b/>
          <w:szCs w:val="16"/>
        </w:rPr>
        <w:t xml:space="preserve">SPP/APR Indicator Measurement Table at: </w:t>
      </w:r>
      <w:hyperlink w:history="1"/>
      <w:hyperlink r:id="rId13" w:history="1">
        <w:r w:rsidR="00B37A83" w:rsidRPr="00B37A83">
          <w:rPr>
            <w:rStyle w:val="Hyperlink"/>
            <w:b/>
            <w:szCs w:val="16"/>
          </w:rPr>
          <w:t>https://sites.ed.gov/idea/files/2024_Part-C_SPP-APR_Measurement_Table.pdf</w:t>
        </w:r>
      </w:hyperlink>
    </w:p>
    <w:p w14:paraId="429CF3AA" w14:textId="65FC6FD7" w:rsidR="002D7557" w:rsidRPr="00B37A83" w:rsidRDefault="00976350" w:rsidP="00B37A83">
      <w:pPr>
        <w:spacing w:after="120"/>
      </w:pPr>
      <w:r w:rsidRPr="00D731C8">
        <w:rPr>
          <w:rFonts w:cs="Arial"/>
          <w:b/>
          <w:szCs w:val="16"/>
        </w:rPr>
        <w:t xml:space="preserve">(3) </w:t>
      </w:r>
      <w:r w:rsidRPr="00D731C8">
        <w:rPr>
          <w:b/>
        </w:rPr>
        <w:t>This column reflects full correction, which is factored into the scoring only when the compliance data are &gt;=90% and &lt;95% for an indicator.</w:t>
      </w:r>
      <w:r w:rsidR="002D7557">
        <w:rPr>
          <w:rFonts w:cs="Arial"/>
          <w:b/>
          <w:szCs w:val="16"/>
        </w:rPr>
        <w:br w:type="page"/>
      </w:r>
    </w:p>
    <w:p w14:paraId="32684C73" w14:textId="77777777" w:rsidR="0081611B" w:rsidRPr="0081611B" w:rsidRDefault="0081611B" w:rsidP="0081611B">
      <w:pPr>
        <w:rPr>
          <w:rFonts w:cs="Arial"/>
          <w:b/>
          <w:bCs/>
          <w:szCs w:val="16"/>
        </w:rPr>
      </w:pPr>
      <w:r w:rsidRPr="0081611B">
        <w:rPr>
          <w:rFonts w:cs="Arial"/>
          <w:b/>
          <w:bCs/>
          <w:szCs w:val="16"/>
        </w:rPr>
        <w:lastRenderedPageBreak/>
        <w:t>Appendix A</w:t>
      </w:r>
    </w:p>
    <w:p w14:paraId="67239D8E" w14:textId="77777777" w:rsidR="00E34D8D" w:rsidRDefault="00E34D8D" w:rsidP="0081611B">
      <w:pPr>
        <w:rPr>
          <w:rFonts w:cs="Arial"/>
          <w:b/>
          <w:bCs/>
          <w:szCs w:val="16"/>
        </w:rPr>
      </w:pPr>
    </w:p>
    <w:p w14:paraId="286DC182" w14:textId="77777777" w:rsidR="00A67CEE" w:rsidRDefault="0081611B" w:rsidP="0081611B">
      <w:pPr>
        <w:rPr>
          <w:rFonts w:cs="Arial"/>
          <w:b/>
          <w:bCs/>
          <w:szCs w:val="16"/>
        </w:rPr>
      </w:pPr>
      <w:r w:rsidRPr="0081611B">
        <w:rPr>
          <w:rFonts w:cs="Arial"/>
          <w:b/>
          <w:bCs/>
          <w:szCs w:val="16"/>
        </w:rPr>
        <w:t xml:space="preserve">I. (a) Data Completeness: </w:t>
      </w:r>
    </w:p>
    <w:p w14:paraId="6649A1BB" w14:textId="04ECDD7A" w:rsidR="0081611B" w:rsidRPr="0081611B" w:rsidRDefault="0081611B" w:rsidP="0081611B">
      <w:pPr>
        <w:rPr>
          <w:rFonts w:cs="Arial"/>
          <w:b/>
          <w:bCs/>
          <w:szCs w:val="16"/>
        </w:rPr>
      </w:pPr>
      <w:r w:rsidRPr="0081611B">
        <w:rPr>
          <w:rFonts w:cs="Arial"/>
          <w:b/>
          <w:bCs/>
          <w:szCs w:val="16"/>
        </w:rPr>
        <w:t>The Percent of Children Included in your State's 2022 Outcomes Data (Indicator C3)</w:t>
      </w:r>
    </w:p>
    <w:p w14:paraId="31CE677D" w14:textId="41C16692" w:rsidR="0081611B" w:rsidRPr="00E34D8D" w:rsidRDefault="0081611B" w:rsidP="0081611B">
      <w:pPr>
        <w:rPr>
          <w:rFonts w:cs="Arial"/>
          <w:bCs/>
          <w:szCs w:val="16"/>
        </w:rPr>
      </w:pPr>
      <w:r w:rsidRPr="00E34D8D">
        <w:rPr>
          <w:rFonts w:cs="Arial"/>
          <w:bCs/>
          <w:szCs w:val="16"/>
        </w:rPr>
        <w:t>Data completeness was calculated using the total number of Part C children who were included in your State’s FFY 2022 Outcomes Data (C3) and the total number of children your State reported in its FFY 2022 IDEA Section 618 data. A percentage for your State was computed by dividing the number of children reported in your State’s Indicator C3 data by the number of children your State reported exited during FFY 2022 in the State’s FFY 2022 IDEA Section 618 Exit Data.</w:t>
      </w:r>
    </w:p>
    <w:tbl>
      <w:tblPr>
        <w:tblStyle w:val="TableGrid1"/>
        <w:tblW w:w="5010" w:type="pct"/>
        <w:tblLook w:val="04A0" w:firstRow="1" w:lastRow="0" w:firstColumn="1" w:lastColumn="0" w:noHBand="0" w:noVBand="1"/>
        <w:tblCaption w:val="CAPPASCR"/>
        <w:tblDescription w:val="Data Completeness Score"/>
      </w:tblPr>
      <w:tblGrid>
        <w:gridCol w:w="3170"/>
        <w:gridCol w:w="7642"/>
      </w:tblGrid>
      <w:tr w:rsidR="0081611B" w:rsidRPr="0081611B" w14:paraId="1E828877" w14:textId="77777777" w:rsidTr="0081611B">
        <w:tc>
          <w:tcPr>
            <w:tcW w:w="1466" w:type="pct"/>
            <w:hideMark/>
          </w:tcPr>
          <w:p w14:paraId="5664F71B" w14:textId="77777777" w:rsidR="0081611B" w:rsidRPr="0081611B" w:rsidRDefault="0081611B" w:rsidP="0081611B">
            <w:pPr>
              <w:rPr>
                <w:rFonts w:cs="Arial"/>
                <w:b/>
                <w:szCs w:val="16"/>
              </w:rPr>
            </w:pPr>
            <w:r w:rsidRPr="0081611B">
              <w:rPr>
                <w:rFonts w:cs="Arial"/>
                <w:b/>
                <w:szCs w:val="16"/>
              </w:rPr>
              <w:t>Data Completeness Score</w:t>
            </w:r>
          </w:p>
        </w:tc>
        <w:tc>
          <w:tcPr>
            <w:tcW w:w="3534" w:type="pct"/>
            <w:hideMark/>
          </w:tcPr>
          <w:p w14:paraId="7A68B8B2" w14:textId="77777777" w:rsidR="0081611B" w:rsidRPr="0081611B" w:rsidRDefault="0081611B" w:rsidP="0081611B">
            <w:pPr>
              <w:rPr>
                <w:rFonts w:cs="Arial"/>
                <w:b/>
                <w:szCs w:val="16"/>
              </w:rPr>
            </w:pPr>
            <w:r w:rsidRPr="0081611B">
              <w:rPr>
                <w:rFonts w:cs="Arial"/>
                <w:b/>
                <w:szCs w:val="16"/>
              </w:rPr>
              <w:t>Percent of Part C Children included in Outcomes Data (C3) and 618 Data</w:t>
            </w:r>
          </w:p>
        </w:tc>
      </w:tr>
      <w:tr w:rsidR="0081611B" w:rsidRPr="0081611B" w14:paraId="5E16B78F" w14:textId="77777777" w:rsidTr="0081611B">
        <w:tc>
          <w:tcPr>
            <w:tcW w:w="1466" w:type="pct"/>
            <w:noWrap/>
            <w:hideMark/>
          </w:tcPr>
          <w:p w14:paraId="10BA0431" w14:textId="77777777" w:rsidR="0081611B" w:rsidRPr="0081611B" w:rsidRDefault="0081611B" w:rsidP="0081611B">
            <w:pPr>
              <w:rPr>
                <w:rFonts w:cs="Arial"/>
                <w:b/>
                <w:szCs w:val="16"/>
              </w:rPr>
            </w:pPr>
            <w:r w:rsidRPr="0081611B">
              <w:rPr>
                <w:rFonts w:cs="Arial"/>
                <w:b/>
                <w:szCs w:val="16"/>
              </w:rPr>
              <w:t>0</w:t>
            </w:r>
          </w:p>
        </w:tc>
        <w:tc>
          <w:tcPr>
            <w:tcW w:w="3534" w:type="pct"/>
            <w:noWrap/>
            <w:hideMark/>
          </w:tcPr>
          <w:p w14:paraId="4B3F7FCD" w14:textId="77777777" w:rsidR="0081611B" w:rsidRPr="0081611B" w:rsidRDefault="0081611B" w:rsidP="0081611B">
            <w:pPr>
              <w:rPr>
                <w:rFonts w:cs="Arial"/>
                <w:b/>
                <w:szCs w:val="16"/>
              </w:rPr>
            </w:pPr>
            <w:r w:rsidRPr="0081611B">
              <w:rPr>
                <w:rFonts w:cs="Arial"/>
                <w:b/>
                <w:szCs w:val="16"/>
              </w:rPr>
              <w:t>Lower than 34%</w:t>
            </w:r>
          </w:p>
        </w:tc>
      </w:tr>
      <w:tr w:rsidR="0081611B" w:rsidRPr="0081611B" w14:paraId="7E26AC3E" w14:textId="77777777" w:rsidTr="0081611B">
        <w:tc>
          <w:tcPr>
            <w:tcW w:w="1466" w:type="pct"/>
            <w:noWrap/>
            <w:hideMark/>
          </w:tcPr>
          <w:p w14:paraId="288CCBDB" w14:textId="77777777" w:rsidR="0081611B" w:rsidRPr="0081611B" w:rsidRDefault="0081611B" w:rsidP="0081611B">
            <w:pPr>
              <w:rPr>
                <w:rFonts w:cs="Arial"/>
                <w:b/>
                <w:szCs w:val="16"/>
              </w:rPr>
            </w:pPr>
            <w:r w:rsidRPr="0081611B">
              <w:rPr>
                <w:rFonts w:cs="Arial"/>
                <w:b/>
                <w:szCs w:val="16"/>
              </w:rPr>
              <w:t>1</w:t>
            </w:r>
          </w:p>
        </w:tc>
        <w:tc>
          <w:tcPr>
            <w:tcW w:w="3534" w:type="pct"/>
            <w:noWrap/>
            <w:hideMark/>
          </w:tcPr>
          <w:p w14:paraId="3C756168" w14:textId="77777777" w:rsidR="0081611B" w:rsidRPr="0081611B" w:rsidRDefault="0081611B" w:rsidP="0081611B">
            <w:pPr>
              <w:rPr>
                <w:rFonts w:cs="Arial"/>
                <w:b/>
                <w:szCs w:val="16"/>
              </w:rPr>
            </w:pPr>
            <w:r w:rsidRPr="0081611B">
              <w:rPr>
                <w:rFonts w:cs="Arial"/>
                <w:b/>
                <w:szCs w:val="16"/>
              </w:rPr>
              <w:t>34% through 64%</w:t>
            </w:r>
          </w:p>
        </w:tc>
      </w:tr>
      <w:tr w:rsidR="0081611B" w:rsidRPr="0081611B" w14:paraId="2E5D2190" w14:textId="77777777" w:rsidTr="0081611B">
        <w:tc>
          <w:tcPr>
            <w:tcW w:w="1466" w:type="pct"/>
            <w:noWrap/>
            <w:hideMark/>
          </w:tcPr>
          <w:p w14:paraId="2CAAC215" w14:textId="77777777" w:rsidR="0081611B" w:rsidRPr="0081611B" w:rsidRDefault="0081611B" w:rsidP="0081611B">
            <w:pPr>
              <w:rPr>
                <w:rFonts w:cs="Arial"/>
                <w:b/>
                <w:szCs w:val="16"/>
              </w:rPr>
            </w:pPr>
            <w:r w:rsidRPr="0081611B">
              <w:rPr>
                <w:rFonts w:cs="Arial"/>
                <w:b/>
                <w:szCs w:val="16"/>
              </w:rPr>
              <w:t>2</w:t>
            </w:r>
          </w:p>
        </w:tc>
        <w:tc>
          <w:tcPr>
            <w:tcW w:w="3534" w:type="pct"/>
            <w:noWrap/>
            <w:hideMark/>
          </w:tcPr>
          <w:p w14:paraId="2DE46756" w14:textId="77777777" w:rsidR="0081611B" w:rsidRPr="0081611B" w:rsidRDefault="0081611B" w:rsidP="0081611B">
            <w:pPr>
              <w:rPr>
                <w:rFonts w:cs="Arial"/>
                <w:b/>
                <w:szCs w:val="16"/>
              </w:rPr>
            </w:pPr>
            <w:r w:rsidRPr="0081611B">
              <w:rPr>
                <w:rFonts w:cs="Arial"/>
                <w:b/>
                <w:szCs w:val="16"/>
              </w:rPr>
              <w:t>65% and above</w:t>
            </w:r>
          </w:p>
        </w:tc>
      </w:tr>
    </w:tbl>
    <w:p w14:paraId="5C71BF9D" w14:textId="5406494D" w:rsidR="00A241E8" w:rsidRDefault="00A241E8" w:rsidP="0081611B">
      <w:pPr>
        <w:rPr>
          <w:rFonts w:cs="Arial"/>
          <w:b/>
          <w:szCs w:val="16"/>
        </w:rPr>
      </w:pPr>
    </w:p>
    <w:p w14:paraId="1036E871" w14:textId="77777777" w:rsidR="00A241E8" w:rsidRDefault="00A241E8">
      <w:pPr>
        <w:spacing w:before="0" w:after="200" w:line="276" w:lineRule="auto"/>
        <w:rPr>
          <w:rFonts w:cs="Arial"/>
          <w:b/>
          <w:szCs w:val="16"/>
        </w:rPr>
      </w:pPr>
      <w:r>
        <w:rPr>
          <w:rFonts w:cs="Arial"/>
          <w:b/>
          <w:szCs w:val="16"/>
        </w:rPr>
        <w:br w:type="page"/>
      </w:r>
    </w:p>
    <w:p w14:paraId="01561F3A" w14:textId="13C66607" w:rsidR="002F672B" w:rsidRDefault="002F672B" w:rsidP="002F672B">
      <w:pPr>
        <w:rPr>
          <w:rFonts w:cs="Arial"/>
          <w:b/>
          <w:bCs/>
          <w:szCs w:val="16"/>
        </w:rPr>
      </w:pPr>
      <w:r w:rsidRPr="002F672B">
        <w:rPr>
          <w:rFonts w:cs="Arial"/>
          <w:b/>
          <w:bCs/>
          <w:szCs w:val="16"/>
        </w:rPr>
        <w:lastRenderedPageBreak/>
        <w:t>Appendix B</w:t>
      </w:r>
    </w:p>
    <w:p w14:paraId="3D44E82B" w14:textId="77777777" w:rsidR="00A67CEE" w:rsidRPr="002F672B" w:rsidRDefault="00A67CEE" w:rsidP="002F672B">
      <w:pPr>
        <w:rPr>
          <w:rFonts w:cs="Arial"/>
          <w:b/>
          <w:bCs/>
          <w:szCs w:val="16"/>
        </w:rPr>
      </w:pPr>
    </w:p>
    <w:p w14:paraId="42BD0C32" w14:textId="77777777" w:rsidR="00A67CEE" w:rsidRDefault="002F672B" w:rsidP="002F672B">
      <w:pPr>
        <w:rPr>
          <w:rFonts w:cs="Arial"/>
          <w:b/>
          <w:bCs/>
          <w:szCs w:val="16"/>
        </w:rPr>
      </w:pPr>
      <w:r w:rsidRPr="002F672B">
        <w:rPr>
          <w:rFonts w:cs="Arial"/>
          <w:b/>
          <w:bCs/>
          <w:szCs w:val="16"/>
        </w:rPr>
        <w:t xml:space="preserve">I. (b) Data Quality: </w:t>
      </w:r>
    </w:p>
    <w:p w14:paraId="5FF8ACA4" w14:textId="3388C954" w:rsidR="002F672B" w:rsidRPr="002F672B" w:rsidRDefault="002F672B" w:rsidP="002F672B">
      <w:pPr>
        <w:rPr>
          <w:rFonts w:cs="Arial"/>
          <w:b/>
          <w:bCs/>
          <w:szCs w:val="16"/>
        </w:rPr>
      </w:pPr>
      <w:r w:rsidRPr="002F672B">
        <w:rPr>
          <w:rFonts w:cs="Arial"/>
          <w:b/>
          <w:bCs/>
          <w:szCs w:val="16"/>
        </w:rPr>
        <w:t>Anomalies in Your State's FFY 2022 Outcomes Data</w:t>
      </w:r>
    </w:p>
    <w:p w14:paraId="6203EEBD" w14:textId="262F74DF" w:rsidR="002F672B" w:rsidRPr="00A67CEE" w:rsidRDefault="002F672B" w:rsidP="002F672B">
      <w:pPr>
        <w:rPr>
          <w:rFonts w:cs="Arial"/>
          <w:bCs/>
          <w:szCs w:val="16"/>
        </w:rPr>
      </w:pPr>
      <w:r w:rsidRPr="00A67CEE">
        <w:rPr>
          <w:rFonts w:cs="Arial"/>
          <w:bCs/>
          <w:szCs w:val="16"/>
        </w:rPr>
        <w:t xml:space="preserve">This score represents a summary of the data anomalies in the FFY 2022 Indicator 3 Outcomes Data reported by your State. Publicly available data for the preceding four years reported by and across all States for each of 15 progress categories under Indicator 3 (in the FFY 2018 – FFY 2021 APRs) were used to determine an expected range of responses for each progress category under Outcomes A, B, and C. For each of the 15 progress categories, a mean was calculated using the publicly available data and a lower and upper scoring percentage was set 1 standard deviation above and below the mean for category a, and 2 standard deviations above and below the mean for categories b through e (numbers are shown as rounded for display purposes, and values are based on data for States with summary statement denominator greater than 199 </w:t>
      </w:r>
      <w:proofErr w:type="spellStart"/>
      <w:r w:rsidRPr="00A67CEE">
        <w:rPr>
          <w:rFonts w:cs="Arial"/>
          <w:bCs/>
          <w:szCs w:val="16"/>
        </w:rPr>
        <w:t>exiters</w:t>
      </w:r>
      <w:proofErr w:type="spellEnd"/>
      <w:r w:rsidRPr="00A67CEE">
        <w:rPr>
          <w:rFonts w:cs="Arial"/>
          <w:bCs/>
          <w:szCs w:val="16"/>
        </w:rPr>
        <w:t>). In any case where the low scoring percentage set from 1 or 2 standard deviations below the mean resulted in a negative number, the low scoring percentage is equal to 0.</w:t>
      </w:r>
    </w:p>
    <w:p w14:paraId="4BEAA1D3" w14:textId="0837E19B" w:rsidR="002F672B" w:rsidRDefault="002F672B" w:rsidP="002F672B">
      <w:pPr>
        <w:rPr>
          <w:rFonts w:cs="Arial"/>
          <w:bCs/>
          <w:szCs w:val="16"/>
        </w:rPr>
      </w:pPr>
      <w:r w:rsidRPr="00A67CEE">
        <w:rPr>
          <w:rFonts w:cs="Arial"/>
          <w:bCs/>
          <w:szCs w:val="16"/>
        </w:rPr>
        <w:t xml:space="preserve">If your State's FFY 2022 data reported in a progress category fell below the calculated "low percentage" or above the "high percentage" for that progress category for all States, the data in that </w:t>
      </w:r>
      <w:proofErr w:type="gramStart"/>
      <w:r w:rsidRPr="00A67CEE">
        <w:rPr>
          <w:rFonts w:cs="Arial"/>
          <w:bCs/>
          <w:szCs w:val="16"/>
        </w:rPr>
        <w:t>particular category</w:t>
      </w:r>
      <w:proofErr w:type="gramEnd"/>
      <w:r w:rsidRPr="00A67CEE">
        <w:rPr>
          <w:rFonts w:cs="Arial"/>
          <w:bCs/>
          <w:szCs w:val="16"/>
        </w:rPr>
        <w:t xml:space="preserve"> are statistically improbable outliers and considered an anomaly for that progress category. If your </w:t>
      </w:r>
      <w:proofErr w:type="gramStart"/>
      <w:r w:rsidRPr="00A67CEE">
        <w:rPr>
          <w:rFonts w:cs="Arial"/>
          <w:bCs/>
          <w:szCs w:val="16"/>
        </w:rPr>
        <w:t>State’s</w:t>
      </w:r>
      <w:proofErr w:type="gramEnd"/>
      <w:r w:rsidRPr="00A67CEE">
        <w:rPr>
          <w:rFonts w:cs="Arial"/>
          <w:bCs/>
          <w:szCs w:val="16"/>
        </w:rPr>
        <w:t xml:space="preserve"> data in a particular progress category was identified as an anomaly, the State received a 0 for that category. A percentage that is equal to or between the low percentage and high percentage for each progress category received 1 point. A State could receive a total number of points between 0 and 15. Thus, a point total of 0 indicates that all 15 progress categories contained data anomalies and a point total of 15 indicates that there were no data anomalies in all 15 progress categories in the State's data. An overall data anomaly score of 0, 1, or 2 is based on the total points awarded.</w:t>
      </w:r>
    </w:p>
    <w:p w14:paraId="00964931" w14:textId="77777777" w:rsidR="00B05769" w:rsidRPr="002F672B" w:rsidRDefault="00B05769" w:rsidP="002F672B">
      <w:pPr>
        <w:rPr>
          <w:rFonts w:cs="Arial"/>
          <w:b/>
          <w:szCs w:val="16"/>
        </w:rPr>
      </w:pPr>
    </w:p>
    <w:tbl>
      <w:tblPr>
        <w:tblStyle w:val="TableGrid"/>
        <w:tblW w:w="0" w:type="auto"/>
        <w:tblCellMar>
          <w:top w:w="29" w:type="dxa"/>
          <w:left w:w="115" w:type="dxa"/>
          <w:bottom w:w="29" w:type="dxa"/>
          <w:right w:w="115" w:type="dxa"/>
        </w:tblCellMar>
        <w:tblLook w:val="04A0" w:firstRow="1" w:lastRow="0" w:firstColumn="1" w:lastColumn="0" w:noHBand="0" w:noVBand="1"/>
        <w:tblCaption w:val="CAPPBOTC"/>
        <w:tblDescription w:val="Outcomes"/>
      </w:tblPr>
      <w:tblGrid>
        <w:gridCol w:w="1728"/>
        <w:gridCol w:w="3600"/>
      </w:tblGrid>
      <w:tr w:rsidR="002F672B" w:rsidRPr="002F672B" w14:paraId="72879646" w14:textId="77777777" w:rsidTr="00FB10DF">
        <w:trPr>
          <w:cantSplit/>
        </w:trPr>
        <w:tc>
          <w:tcPr>
            <w:tcW w:w="1728" w:type="dxa"/>
            <w:hideMark/>
          </w:tcPr>
          <w:p w14:paraId="034EFB57" w14:textId="77777777" w:rsidR="002F672B" w:rsidRPr="002F672B" w:rsidRDefault="002F672B" w:rsidP="002F672B">
            <w:pPr>
              <w:rPr>
                <w:rFonts w:cs="Arial"/>
                <w:b/>
                <w:szCs w:val="16"/>
              </w:rPr>
            </w:pPr>
            <w:r w:rsidRPr="002F672B">
              <w:rPr>
                <w:rFonts w:cs="Arial"/>
                <w:b/>
                <w:szCs w:val="16"/>
              </w:rPr>
              <w:t>Outcome A</w:t>
            </w:r>
          </w:p>
        </w:tc>
        <w:tc>
          <w:tcPr>
            <w:tcW w:w="3600" w:type="dxa"/>
            <w:hideMark/>
          </w:tcPr>
          <w:p w14:paraId="080CEA5D" w14:textId="77777777" w:rsidR="002F672B" w:rsidRPr="002F672B" w:rsidRDefault="002F672B" w:rsidP="002F672B">
            <w:pPr>
              <w:rPr>
                <w:rFonts w:cs="Arial"/>
                <w:b/>
                <w:szCs w:val="16"/>
              </w:rPr>
            </w:pPr>
            <w:r w:rsidRPr="002F672B">
              <w:rPr>
                <w:rFonts w:cs="Arial"/>
                <w:b/>
                <w:szCs w:val="16"/>
              </w:rPr>
              <w:t>Positive Social Relationships</w:t>
            </w:r>
          </w:p>
        </w:tc>
      </w:tr>
      <w:tr w:rsidR="002F672B" w:rsidRPr="002F672B" w14:paraId="0334207A" w14:textId="77777777" w:rsidTr="00FB10DF">
        <w:trPr>
          <w:cantSplit/>
        </w:trPr>
        <w:tc>
          <w:tcPr>
            <w:tcW w:w="1728" w:type="dxa"/>
            <w:hideMark/>
          </w:tcPr>
          <w:p w14:paraId="569CFDDF" w14:textId="77777777" w:rsidR="002F672B" w:rsidRPr="002F672B" w:rsidRDefault="002F672B" w:rsidP="002F672B">
            <w:pPr>
              <w:rPr>
                <w:rFonts w:cs="Arial"/>
                <w:b/>
                <w:szCs w:val="16"/>
              </w:rPr>
            </w:pPr>
            <w:r w:rsidRPr="002F672B">
              <w:rPr>
                <w:rFonts w:cs="Arial"/>
                <w:b/>
                <w:szCs w:val="16"/>
              </w:rPr>
              <w:t>Outcome B</w:t>
            </w:r>
          </w:p>
        </w:tc>
        <w:tc>
          <w:tcPr>
            <w:tcW w:w="3600" w:type="dxa"/>
            <w:hideMark/>
          </w:tcPr>
          <w:p w14:paraId="5FC427B4" w14:textId="77777777" w:rsidR="002F672B" w:rsidRPr="002F672B" w:rsidRDefault="002F672B" w:rsidP="002F672B">
            <w:pPr>
              <w:rPr>
                <w:rFonts w:cs="Arial"/>
                <w:b/>
                <w:szCs w:val="16"/>
              </w:rPr>
            </w:pPr>
            <w:r w:rsidRPr="002F672B">
              <w:rPr>
                <w:rFonts w:cs="Arial"/>
                <w:b/>
                <w:szCs w:val="16"/>
              </w:rPr>
              <w:t>Knowledge and Skills</w:t>
            </w:r>
          </w:p>
        </w:tc>
      </w:tr>
      <w:tr w:rsidR="002F672B" w:rsidRPr="002F672B" w14:paraId="36AB8E6A" w14:textId="77777777" w:rsidTr="00FB10DF">
        <w:trPr>
          <w:cantSplit/>
        </w:trPr>
        <w:tc>
          <w:tcPr>
            <w:tcW w:w="1728" w:type="dxa"/>
            <w:hideMark/>
          </w:tcPr>
          <w:p w14:paraId="01CE9402" w14:textId="77777777" w:rsidR="002F672B" w:rsidRPr="002F672B" w:rsidRDefault="002F672B" w:rsidP="002F672B">
            <w:pPr>
              <w:rPr>
                <w:rFonts w:cs="Arial"/>
                <w:b/>
                <w:szCs w:val="16"/>
              </w:rPr>
            </w:pPr>
            <w:r w:rsidRPr="002F672B">
              <w:rPr>
                <w:rFonts w:cs="Arial"/>
                <w:b/>
                <w:szCs w:val="16"/>
              </w:rPr>
              <w:t>Outcome C</w:t>
            </w:r>
          </w:p>
        </w:tc>
        <w:tc>
          <w:tcPr>
            <w:tcW w:w="3600" w:type="dxa"/>
            <w:hideMark/>
          </w:tcPr>
          <w:p w14:paraId="6D10C03B" w14:textId="77777777" w:rsidR="002F672B" w:rsidRPr="002F672B" w:rsidRDefault="002F672B" w:rsidP="002F672B">
            <w:pPr>
              <w:rPr>
                <w:rFonts w:cs="Arial"/>
                <w:b/>
                <w:szCs w:val="16"/>
              </w:rPr>
            </w:pPr>
            <w:r w:rsidRPr="002F672B">
              <w:rPr>
                <w:rFonts w:cs="Arial"/>
                <w:b/>
                <w:szCs w:val="16"/>
              </w:rPr>
              <w:t>Actions to Meet Needs</w:t>
            </w:r>
          </w:p>
        </w:tc>
      </w:tr>
    </w:tbl>
    <w:p w14:paraId="6E835BEF" w14:textId="77777777" w:rsidR="002F672B" w:rsidRPr="002F672B" w:rsidRDefault="002F672B" w:rsidP="002F672B">
      <w:pPr>
        <w:rPr>
          <w:rFonts w:cs="Arial"/>
          <w:b/>
          <w:szCs w:val="16"/>
        </w:rPr>
      </w:pPr>
    </w:p>
    <w:tbl>
      <w:tblPr>
        <w:tblStyle w:val="TableGrid"/>
        <w:tblW w:w="10800" w:type="dxa"/>
        <w:tblCellMar>
          <w:top w:w="29" w:type="dxa"/>
          <w:left w:w="115" w:type="dxa"/>
          <w:bottom w:w="29" w:type="dxa"/>
          <w:right w:w="115" w:type="dxa"/>
        </w:tblCellMar>
        <w:tblLook w:val="04A0" w:firstRow="1" w:lastRow="0" w:firstColumn="1" w:lastColumn="0" w:noHBand="0" w:noVBand="1"/>
        <w:tblCaption w:val="CAPPBOTCCATS"/>
        <w:tblDescription w:val="Categories"/>
      </w:tblPr>
      <w:tblGrid>
        <w:gridCol w:w="1728"/>
        <w:gridCol w:w="9072"/>
      </w:tblGrid>
      <w:tr w:rsidR="002F672B" w:rsidRPr="002F672B" w14:paraId="489C3909" w14:textId="77777777" w:rsidTr="00C452AB">
        <w:trPr>
          <w:cantSplit/>
        </w:trPr>
        <w:tc>
          <w:tcPr>
            <w:tcW w:w="1728" w:type="dxa"/>
            <w:hideMark/>
          </w:tcPr>
          <w:p w14:paraId="406AE173" w14:textId="77777777" w:rsidR="002F672B" w:rsidRPr="002F672B" w:rsidRDefault="002F672B" w:rsidP="002F672B">
            <w:pPr>
              <w:rPr>
                <w:rFonts w:cs="Arial"/>
                <w:b/>
                <w:szCs w:val="16"/>
              </w:rPr>
            </w:pPr>
            <w:r w:rsidRPr="002F672B">
              <w:rPr>
                <w:rFonts w:cs="Arial"/>
                <w:b/>
                <w:szCs w:val="16"/>
              </w:rPr>
              <w:t>Category a</w:t>
            </w:r>
          </w:p>
        </w:tc>
        <w:tc>
          <w:tcPr>
            <w:tcW w:w="9072" w:type="dxa"/>
            <w:hideMark/>
          </w:tcPr>
          <w:p w14:paraId="5F57DBE8" w14:textId="77777777" w:rsidR="002F672B" w:rsidRPr="002F672B" w:rsidRDefault="002F672B" w:rsidP="002F672B">
            <w:pPr>
              <w:rPr>
                <w:rFonts w:cs="Arial"/>
                <w:b/>
                <w:szCs w:val="16"/>
              </w:rPr>
            </w:pPr>
            <w:r w:rsidRPr="002F672B">
              <w:rPr>
                <w:rFonts w:cs="Arial"/>
                <w:b/>
                <w:szCs w:val="16"/>
              </w:rPr>
              <w:t>Percent of infants and toddlers who did not improve functioning</w:t>
            </w:r>
          </w:p>
        </w:tc>
      </w:tr>
      <w:tr w:rsidR="002F672B" w:rsidRPr="002F672B" w14:paraId="756D2571" w14:textId="77777777" w:rsidTr="00C452AB">
        <w:trPr>
          <w:cantSplit/>
        </w:trPr>
        <w:tc>
          <w:tcPr>
            <w:tcW w:w="1728" w:type="dxa"/>
            <w:hideMark/>
          </w:tcPr>
          <w:p w14:paraId="2C44DB5F" w14:textId="77777777" w:rsidR="002F672B" w:rsidRPr="002F672B" w:rsidRDefault="002F672B" w:rsidP="002F672B">
            <w:pPr>
              <w:rPr>
                <w:rFonts w:cs="Arial"/>
                <w:b/>
                <w:szCs w:val="16"/>
              </w:rPr>
            </w:pPr>
            <w:r w:rsidRPr="002F672B">
              <w:rPr>
                <w:rFonts w:cs="Arial"/>
                <w:b/>
                <w:szCs w:val="16"/>
              </w:rPr>
              <w:t>Category b</w:t>
            </w:r>
          </w:p>
        </w:tc>
        <w:tc>
          <w:tcPr>
            <w:tcW w:w="9072" w:type="dxa"/>
            <w:hideMark/>
          </w:tcPr>
          <w:p w14:paraId="68A0A1D4" w14:textId="77777777" w:rsidR="002F672B" w:rsidRPr="002F672B" w:rsidRDefault="002F672B" w:rsidP="002F672B">
            <w:pPr>
              <w:rPr>
                <w:rFonts w:cs="Arial"/>
                <w:b/>
                <w:szCs w:val="16"/>
              </w:rPr>
            </w:pPr>
            <w:r w:rsidRPr="002F672B">
              <w:rPr>
                <w:rFonts w:cs="Arial"/>
                <w:b/>
                <w:szCs w:val="16"/>
              </w:rPr>
              <w:t>Percent of infants and toddlers who improved functioning but not sufficient to move nearer to functioning comparable to same-aged peers</w:t>
            </w:r>
          </w:p>
        </w:tc>
      </w:tr>
      <w:tr w:rsidR="002F672B" w:rsidRPr="002F672B" w14:paraId="3EC0B8A6" w14:textId="77777777" w:rsidTr="00C452AB">
        <w:trPr>
          <w:cantSplit/>
        </w:trPr>
        <w:tc>
          <w:tcPr>
            <w:tcW w:w="1728" w:type="dxa"/>
            <w:hideMark/>
          </w:tcPr>
          <w:p w14:paraId="774261AC" w14:textId="77777777" w:rsidR="002F672B" w:rsidRPr="002F672B" w:rsidRDefault="002F672B" w:rsidP="002F672B">
            <w:pPr>
              <w:rPr>
                <w:rFonts w:cs="Arial"/>
                <w:b/>
                <w:szCs w:val="16"/>
              </w:rPr>
            </w:pPr>
            <w:r w:rsidRPr="002F672B">
              <w:rPr>
                <w:rFonts w:cs="Arial"/>
                <w:b/>
                <w:szCs w:val="16"/>
              </w:rPr>
              <w:t>Category c</w:t>
            </w:r>
          </w:p>
        </w:tc>
        <w:tc>
          <w:tcPr>
            <w:tcW w:w="9072" w:type="dxa"/>
            <w:hideMark/>
          </w:tcPr>
          <w:p w14:paraId="48AA0CFA" w14:textId="77777777" w:rsidR="002F672B" w:rsidRPr="002F672B" w:rsidRDefault="002F672B" w:rsidP="002F672B">
            <w:pPr>
              <w:rPr>
                <w:rFonts w:cs="Arial"/>
                <w:b/>
                <w:szCs w:val="16"/>
              </w:rPr>
            </w:pPr>
            <w:r w:rsidRPr="002F672B">
              <w:rPr>
                <w:rFonts w:cs="Arial"/>
                <w:b/>
                <w:szCs w:val="16"/>
              </w:rPr>
              <w:t>Percent of infants and toddlers who improved functioning to a level nearer to same-aged peers but did not reach it</w:t>
            </w:r>
          </w:p>
        </w:tc>
      </w:tr>
      <w:tr w:rsidR="002F672B" w:rsidRPr="002F672B" w14:paraId="61D1C358" w14:textId="77777777" w:rsidTr="00C452AB">
        <w:trPr>
          <w:cantSplit/>
        </w:trPr>
        <w:tc>
          <w:tcPr>
            <w:tcW w:w="1728" w:type="dxa"/>
            <w:hideMark/>
          </w:tcPr>
          <w:p w14:paraId="02788C61" w14:textId="77777777" w:rsidR="002F672B" w:rsidRPr="002F672B" w:rsidRDefault="002F672B" w:rsidP="002F672B">
            <w:pPr>
              <w:rPr>
                <w:rFonts w:cs="Arial"/>
                <w:b/>
                <w:szCs w:val="16"/>
              </w:rPr>
            </w:pPr>
            <w:r w:rsidRPr="002F672B">
              <w:rPr>
                <w:rFonts w:cs="Arial"/>
                <w:b/>
                <w:szCs w:val="16"/>
              </w:rPr>
              <w:t>Category d</w:t>
            </w:r>
          </w:p>
        </w:tc>
        <w:tc>
          <w:tcPr>
            <w:tcW w:w="9072" w:type="dxa"/>
            <w:hideMark/>
          </w:tcPr>
          <w:p w14:paraId="65AE1112" w14:textId="77777777" w:rsidR="002F672B" w:rsidRPr="002F672B" w:rsidRDefault="002F672B" w:rsidP="002F672B">
            <w:pPr>
              <w:rPr>
                <w:rFonts w:cs="Arial"/>
                <w:b/>
                <w:szCs w:val="16"/>
              </w:rPr>
            </w:pPr>
            <w:r w:rsidRPr="002F672B">
              <w:rPr>
                <w:rFonts w:cs="Arial"/>
                <w:b/>
                <w:szCs w:val="16"/>
              </w:rPr>
              <w:t>Percent of infants and toddlers who improved functioning to reach a level comparable to same-aged peers</w:t>
            </w:r>
          </w:p>
        </w:tc>
      </w:tr>
      <w:tr w:rsidR="002F672B" w:rsidRPr="002F672B" w14:paraId="642349E5" w14:textId="77777777" w:rsidTr="00C452AB">
        <w:trPr>
          <w:cantSplit/>
        </w:trPr>
        <w:tc>
          <w:tcPr>
            <w:tcW w:w="1728" w:type="dxa"/>
            <w:hideMark/>
          </w:tcPr>
          <w:p w14:paraId="473FF5B6" w14:textId="77777777" w:rsidR="002F672B" w:rsidRPr="002F672B" w:rsidRDefault="002F672B" w:rsidP="002F672B">
            <w:pPr>
              <w:rPr>
                <w:rFonts w:cs="Arial"/>
                <w:b/>
                <w:szCs w:val="16"/>
              </w:rPr>
            </w:pPr>
            <w:r w:rsidRPr="002F672B">
              <w:rPr>
                <w:rFonts w:cs="Arial"/>
                <w:b/>
                <w:szCs w:val="16"/>
              </w:rPr>
              <w:t>Category e</w:t>
            </w:r>
          </w:p>
        </w:tc>
        <w:tc>
          <w:tcPr>
            <w:tcW w:w="9072" w:type="dxa"/>
            <w:hideMark/>
          </w:tcPr>
          <w:p w14:paraId="7BC232C9" w14:textId="77777777" w:rsidR="002F672B" w:rsidRPr="002F672B" w:rsidRDefault="002F672B" w:rsidP="002F672B">
            <w:pPr>
              <w:rPr>
                <w:rFonts w:cs="Arial"/>
                <w:b/>
                <w:szCs w:val="16"/>
              </w:rPr>
            </w:pPr>
            <w:r w:rsidRPr="002F672B">
              <w:rPr>
                <w:rFonts w:cs="Arial"/>
                <w:b/>
                <w:szCs w:val="16"/>
              </w:rPr>
              <w:t>Percent of infants and toddlers who maintained functioning at a level comparable to same-aged peers</w:t>
            </w:r>
          </w:p>
        </w:tc>
      </w:tr>
    </w:tbl>
    <w:p w14:paraId="2B683B32" w14:textId="494CFD40" w:rsidR="00AA07A0" w:rsidRDefault="00AA07A0" w:rsidP="002F672B">
      <w:pPr>
        <w:rPr>
          <w:rFonts w:cs="Arial"/>
          <w:b/>
          <w:bCs/>
          <w:szCs w:val="16"/>
        </w:rPr>
      </w:pPr>
    </w:p>
    <w:p w14:paraId="299C4DBA" w14:textId="77777777" w:rsidR="00AA07A0" w:rsidRDefault="00AA07A0">
      <w:pPr>
        <w:spacing w:before="0" w:after="200" w:line="276" w:lineRule="auto"/>
        <w:rPr>
          <w:rFonts w:cs="Arial"/>
          <w:b/>
          <w:bCs/>
          <w:szCs w:val="16"/>
        </w:rPr>
      </w:pPr>
      <w:r>
        <w:rPr>
          <w:rFonts w:cs="Arial"/>
          <w:b/>
          <w:bCs/>
          <w:szCs w:val="16"/>
        </w:rPr>
        <w:br w:type="page"/>
      </w:r>
    </w:p>
    <w:p w14:paraId="1B0FD437" w14:textId="77777777" w:rsidR="00B05769" w:rsidRDefault="00B05769" w:rsidP="002F672B">
      <w:pPr>
        <w:rPr>
          <w:rFonts w:cs="Arial"/>
          <w:b/>
          <w:bCs/>
          <w:szCs w:val="16"/>
        </w:rPr>
      </w:pPr>
    </w:p>
    <w:p w14:paraId="38D6C037" w14:textId="62D6BABE" w:rsidR="002F672B" w:rsidRPr="002F672B" w:rsidRDefault="002F672B" w:rsidP="002F672B">
      <w:pPr>
        <w:rPr>
          <w:rFonts w:cs="Arial"/>
          <w:b/>
          <w:bCs/>
          <w:szCs w:val="16"/>
        </w:rPr>
      </w:pPr>
      <w:r w:rsidRPr="002F672B">
        <w:rPr>
          <w:rFonts w:cs="Arial"/>
          <w:b/>
          <w:bCs/>
          <w:szCs w:val="16"/>
        </w:rPr>
        <w:t>Expected Range of Responses for Each Outcome and Category, FFY 2022</w:t>
      </w:r>
    </w:p>
    <w:tbl>
      <w:tblPr>
        <w:tblStyle w:val="TableGrid1"/>
        <w:tblW w:w="5008" w:type="pct"/>
        <w:tblLook w:val="04A0" w:firstRow="1" w:lastRow="0" w:firstColumn="1" w:lastColumn="0" w:noHBand="0" w:noVBand="1"/>
        <w:tblCaption w:val="CAPPBOTCCATRNG"/>
        <w:tblDescription w:val="Outcome\Category"/>
      </w:tblPr>
      <w:tblGrid>
        <w:gridCol w:w="2883"/>
        <w:gridCol w:w="1976"/>
        <w:gridCol w:w="1991"/>
        <w:gridCol w:w="1986"/>
        <w:gridCol w:w="1971"/>
      </w:tblGrid>
      <w:tr w:rsidR="002F672B" w:rsidRPr="002F672B" w14:paraId="557DBA42" w14:textId="77777777" w:rsidTr="002F672B">
        <w:tc>
          <w:tcPr>
            <w:tcW w:w="1334" w:type="pct"/>
            <w:noWrap/>
            <w:hideMark/>
          </w:tcPr>
          <w:p w14:paraId="2198D8A5" w14:textId="77777777" w:rsidR="002F672B" w:rsidRPr="002F672B" w:rsidRDefault="002F672B" w:rsidP="002F672B">
            <w:pPr>
              <w:rPr>
                <w:rFonts w:cs="Arial"/>
                <w:b/>
                <w:szCs w:val="16"/>
              </w:rPr>
            </w:pPr>
            <w:r w:rsidRPr="002F672B">
              <w:rPr>
                <w:rFonts w:cs="Arial"/>
                <w:b/>
                <w:bCs/>
                <w:szCs w:val="16"/>
              </w:rPr>
              <w:t>Outcome\Category</w:t>
            </w:r>
          </w:p>
        </w:tc>
        <w:tc>
          <w:tcPr>
            <w:tcW w:w="914" w:type="pct"/>
            <w:noWrap/>
            <w:hideMark/>
          </w:tcPr>
          <w:p w14:paraId="7FBC0389" w14:textId="77777777" w:rsidR="002F672B" w:rsidRPr="002F672B" w:rsidRDefault="002F672B" w:rsidP="00E415ED">
            <w:pPr>
              <w:jc w:val="center"/>
              <w:rPr>
                <w:rFonts w:cs="Arial"/>
                <w:b/>
                <w:bCs/>
                <w:szCs w:val="16"/>
              </w:rPr>
            </w:pPr>
            <w:r w:rsidRPr="002F672B">
              <w:rPr>
                <w:rFonts w:cs="Arial"/>
                <w:b/>
                <w:bCs/>
                <w:szCs w:val="16"/>
              </w:rPr>
              <w:t>Mean</w:t>
            </w:r>
          </w:p>
        </w:tc>
        <w:tc>
          <w:tcPr>
            <w:tcW w:w="921" w:type="pct"/>
            <w:noWrap/>
            <w:hideMark/>
          </w:tcPr>
          <w:p w14:paraId="6AE0978D" w14:textId="77777777" w:rsidR="002F672B" w:rsidRPr="002F672B" w:rsidRDefault="002F672B" w:rsidP="00E415ED">
            <w:pPr>
              <w:jc w:val="center"/>
              <w:rPr>
                <w:rFonts w:cs="Arial"/>
                <w:b/>
                <w:bCs/>
                <w:szCs w:val="16"/>
              </w:rPr>
            </w:pPr>
            <w:proofErr w:type="spellStart"/>
            <w:r w:rsidRPr="002F672B">
              <w:rPr>
                <w:rFonts w:cs="Arial"/>
                <w:b/>
                <w:bCs/>
                <w:szCs w:val="16"/>
              </w:rPr>
              <w:t>StDev</w:t>
            </w:r>
            <w:proofErr w:type="spellEnd"/>
          </w:p>
        </w:tc>
        <w:tc>
          <w:tcPr>
            <w:tcW w:w="919" w:type="pct"/>
            <w:noWrap/>
            <w:hideMark/>
          </w:tcPr>
          <w:p w14:paraId="4522F4EF" w14:textId="77777777" w:rsidR="002F672B" w:rsidRPr="002F672B" w:rsidRDefault="002F672B" w:rsidP="00E415ED">
            <w:pPr>
              <w:jc w:val="center"/>
              <w:rPr>
                <w:rFonts w:cs="Arial"/>
                <w:b/>
                <w:bCs/>
                <w:szCs w:val="16"/>
              </w:rPr>
            </w:pPr>
            <w:r w:rsidRPr="002F672B">
              <w:rPr>
                <w:rFonts w:cs="Arial"/>
                <w:b/>
                <w:bCs/>
                <w:szCs w:val="16"/>
              </w:rPr>
              <w:t>-1SD</w:t>
            </w:r>
          </w:p>
        </w:tc>
        <w:tc>
          <w:tcPr>
            <w:tcW w:w="912" w:type="pct"/>
            <w:noWrap/>
            <w:hideMark/>
          </w:tcPr>
          <w:p w14:paraId="691B4046" w14:textId="77777777" w:rsidR="002F672B" w:rsidRPr="002F672B" w:rsidRDefault="002F672B" w:rsidP="00E415ED">
            <w:pPr>
              <w:jc w:val="center"/>
              <w:rPr>
                <w:rFonts w:cs="Arial"/>
                <w:b/>
                <w:bCs/>
                <w:szCs w:val="16"/>
              </w:rPr>
            </w:pPr>
            <w:r w:rsidRPr="002F672B">
              <w:rPr>
                <w:rFonts w:cs="Arial"/>
                <w:b/>
                <w:bCs/>
                <w:szCs w:val="16"/>
              </w:rPr>
              <w:t>+1SD</w:t>
            </w:r>
          </w:p>
        </w:tc>
      </w:tr>
      <w:tr w:rsidR="00AB65CA" w:rsidRPr="002F672B" w14:paraId="29B2661E" w14:textId="77777777" w:rsidTr="00E415ED">
        <w:tc>
          <w:tcPr>
            <w:tcW w:w="1334" w:type="pct"/>
            <w:noWrap/>
            <w:hideMark/>
          </w:tcPr>
          <w:p w14:paraId="535F6758" w14:textId="77777777" w:rsidR="00AB65CA" w:rsidRPr="002F672B" w:rsidRDefault="00AB65CA" w:rsidP="00AB65CA">
            <w:pPr>
              <w:rPr>
                <w:rFonts w:cs="Arial"/>
                <w:b/>
                <w:bCs/>
                <w:szCs w:val="16"/>
              </w:rPr>
            </w:pPr>
            <w:r w:rsidRPr="002F672B">
              <w:rPr>
                <w:rFonts w:cs="Arial"/>
                <w:b/>
                <w:bCs/>
                <w:szCs w:val="16"/>
              </w:rPr>
              <w:t>Outcome A\Category a</w:t>
            </w:r>
          </w:p>
        </w:tc>
        <w:tc>
          <w:tcPr>
            <w:tcW w:w="914" w:type="pct"/>
            <w:noWrap/>
            <w:vAlign w:val="bottom"/>
          </w:tcPr>
          <w:p w14:paraId="0E0C6DFE" w14:textId="6F690D46" w:rsidR="00AB65CA" w:rsidRPr="00AB65CA" w:rsidRDefault="00AB65CA" w:rsidP="00AB65CA">
            <w:pPr>
              <w:jc w:val="center"/>
              <w:rPr>
                <w:rFonts w:cs="Arial"/>
                <w:b/>
                <w:szCs w:val="16"/>
              </w:rPr>
            </w:pPr>
            <w:r w:rsidRPr="00AB65CA">
              <w:rPr>
                <w:rFonts w:cs="Arial"/>
                <w:color w:val="000000"/>
                <w:szCs w:val="16"/>
              </w:rPr>
              <w:t>1.57</w:t>
            </w:r>
          </w:p>
        </w:tc>
        <w:tc>
          <w:tcPr>
            <w:tcW w:w="921" w:type="pct"/>
            <w:noWrap/>
            <w:vAlign w:val="bottom"/>
          </w:tcPr>
          <w:p w14:paraId="0DE466A5" w14:textId="2C2F3B6E" w:rsidR="00AB65CA" w:rsidRPr="00AB65CA" w:rsidRDefault="00AB65CA" w:rsidP="00AB65CA">
            <w:pPr>
              <w:jc w:val="center"/>
              <w:rPr>
                <w:rFonts w:cs="Arial"/>
                <w:b/>
                <w:szCs w:val="16"/>
              </w:rPr>
            </w:pPr>
            <w:r w:rsidRPr="00AB65CA">
              <w:rPr>
                <w:rFonts w:cs="Arial"/>
                <w:color w:val="000000"/>
                <w:szCs w:val="16"/>
              </w:rPr>
              <w:t>3.26</w:t>
            </w:r>
          </w:p>
        </w:tc>
        <w:tc>
          <w:tcPr>
            <w:tcW w:w="919" w:type="pct"/>
            <w:noWrap/>
            <w:vAlign w:val="bottom"/>
          </w:tcPr>
          <w:p w14:paraId="0E42725B" w14:textId="2B07AE53" w:rsidR="00AB65CA" w:rsidRPr="00AB65CA" w:rsidRDefault="00AB65CA" w:rsidP="00AB65CA">
            <w:pPr>
              <w:jc w:val="center"/>
              <w:rPr>
                <w:rFonts w:cs="Arial"/>
                <w:b/>
                <w:szCs w:val="16"/>
              </w:rPr>
            </w:pPr>
            <w:r w:rsidRPr="00AB65CA">
              <w:rPr>
                <w:rFonts w:cs="Arial"/>
                <w:color w:val="000000"/>
                <w:szCs w:val="16"/>
              </w:rPr>
              <w:t>-1.69</w:t>
            </w:r>
          </w:p>
        </w:tc>
        <w:tc>
          <w:tcPr>
            <w:tcW w:w="912" w:type="pct"/>
            <w:noWrap/>
            <w:vAlign w:val="bottom"/>
          </w:tcPr>
          <w:p w14:paraId="2629B931" w14:textId="60B764F1" w:rsidR="00AB65CA" w:rsidRPr="00AB65CA" w:rsidRDefault="00AB65CA" w:rsidP="00AB65CA">
            <w:pPr>
              <w:jc w:val="center"/>
              <w:rPr>
                <w:rFonts w:cs="Arial"/>
                <w:b/>
                <w:szCs w:val="16"/>
              </w:rPr>
            </w:pPr>
            <w:r w:rsidRPr="00AB65CA">
              <w:rPr>
                <w:rFonts w:cs="Arial"/>
                <w:color w:val="000000"/>
                <w:szCs w:val="16"/>
              </w:rPr>
              <w:t>4.83</w:t>
            </w:r>
          </w:p>
        </w:tc>
      </w:tr>
      <w:tr w:rsidR="00AB65CA" w:rsidRPr="002F672B" w14:paraId="57470D2E" w14:textId="77777777" w:rsidTr="00E415ED">
        <w:tc>
          <w:tcPr>
            <w:tcW w:w="1334" w:type="pct"/>
            <w:noWrap/>
            <w:hideMark/>
          </w:tcPr>
          <w:p w14:paraId="3C045428" w14:textId="77777777" w:rsidR="00AB65CA" w:rsidRPr="002F672B" w:rsidRDefault="00AB65CA" w:rsidP="00AB65CA">
            <w:pPr>
              <w:rPr>
                <w:rFonts w:cs="Arial"/>
                <w:b/>
                <w:bCs/>
                <w:szCs w:val="16"/>
              </w:rPr>
            </w:pPr>
            <w:r w:rsidRPr="002F672B">
              <w:rPr>
                <w:rFonts w:cs="Arial"/>
                <w:b/>
                <w:bCs/>
                <w:szCs w:val="16"/>
              </w:rPr>
              <w:t>Outcome B\Category a</w:t>
            </w:r>
          </w:p>
        </w:tc>
        <w:tc>
          <w:tcPr>
            <w:tcW w:w="914" w:type="pct"/>
            <w:noWrap/>
            <w:vAlign w:val="bottom"/>
          </w:tcPr>
          <w:p w14:paraId="0D1D5269" w14:textId="76A853A1" w:rsidR="00AB65CA" w:rsidRPr="00AB65CA" w:rsidRDefault="00AB65CA" w:rsidP="00AB65CA">
            <w:pPr>
              <w:jc w:val="center"/>
              <w:rPr>
                <w:rFonts w:cs="Arial"/>
                <w:b/>
                <w:szCs w:val="16"/>
              </w:rPr>
            </w:pPr>
            <w:r w:rsidRPr="00AB65CA">
              <w:rPr>
                <w:rFonts w:cs="Arial"/>
                <w:color w:val="000000"/>
                <w:szCs w:val="16"/>
              </w:rPr>
              <w:t>1.39</w:t>
            </w:r>
          </w:p>
        </w:tc>
        <w:tc>
          <w:tcPr>
            <w:tcW w:w="921" w:type="pct"/>
            <w:noWrap/>
            <w:vAlign w:val="bottom"/>
          </w:tcPr>
          <w:p w14:paraId="38EF2B62" w14:textId="329D3EC6" w:rsidR="00AB65CA" w:rsidRPr="00AB65CA" w:rsidRDefault="00AB65CA" w:rsidP="00AB65CA">
            <w:pPr>
              <w:jc w:val="center"/>
              <w:rPr>
                <w:rFonts w:cs="Arial"/>
                <w:b/>
                <w:szCs w:val="16"/>
              </w:rPr>
            </w:pPr>
            <w:r w:rsidRPr="00AB65CA">
              <w:rPr>
                <w:rFonts w:cs="Arial"/>
                <w:color w:val="000000"/>
                <w:szCs w:val="16"/>
              </w:rPr>
              <w:t>3</w:t>
            </w:r>
          </w:p>
        </w:tc>
        <w:tc>
          <w:tcPr>
            <w:tcW w:w="919" w:type="pct"/>
            <w:noWrap/>
            <w:vAlign w:val="bottom"/>
          </w:tcPr>
          <w:p w14:paraId="4A603301" w14:textId="557E125D" w:rsidR="00AB65CA" w:rsidRPr="00AB65CA" w:rsidRDefault="00AB65CA" w:rsidP="00AB65CA">
            <w:pPr>
              <w:jc w:val="center"/>
              <w:rPr>
                <w:rFonts w:cs="Arial"/>
                <w:b/>
                <w:szCs w:val="16"/>
              </w:rPr>
            </w:pPr>
            <w:r w:rsidRPr="00AB65CA">
              <w:rPr>
                <w:rFonts w:cs="Arial"/>
                <w:color w:val="000000"/>
                <w:szCs w:val="16"/>
              </w:rPr>
              <w:t>-1.6</w:t>
            </w:r>
          </w:p>
        </w:tc>
        <w:tc>
          <w:tcPr>
            <w:tcW w:w="912" w:type="pct"/>
            <w:noWrap/>
            <w:vAlign w:val="bottom"/>
          </w:tcPr>
          <w:p w14:paraId="6791967C" w14:textId="60934ADB" w:rsidR="00AB65CA" w:rsidRPr="00AB65CA" w:rsidRDefault="00AB65CA" w:rsidP="00AB65CA">
            <w:pPr>
              <w:jc w:val="center"/>
              <w:rPr>
                <w:rFonts w:cs="Arial"/>
                <w:b/>
                <w:szCs w:val="16"/>
              </w:rPr>
            </w:pPr>
            <w:r w:rsidRPr="00AB65CA">
              <w:rPr>
                <w:rFonts w:cs="Arial"/>
                <w:color w:val="000000"/>
                <w:szCs w:val="16"/>
              </w:rPr>
              <w:t>4.39</w:t>
            </w:r>
          </w:p>
        </w:tc>
      </w:tr>
      <w:tr w:rsidR="00AB65CA" w:rsidRPr="002F672B" w14:paraId="00171CFD" w14:textId="77777777" w:rsidTr="00E415ED">
        <w:tc>
          <w:tcPr>
            <w:tcW w:w="1334" w:type="pct"/>
            <w:noWrap/>
            <w:hideMark/>
          </w:tcPr>
          <w:p w14:paraId="5BD17A65" w14:textId="77777777" w:rsidR="00AB65CA" w:rsidRPr="002F672B" w:rsidRDefault="00AB65CA" w:rsidP="00AB65CA">
            <w:pPr>
              <w:rPr>
                <w:rFonts w:cs="Arial"/>
                <w:b/>
                <w:bCs/>
                <w:szCs w:val="16"/>
              </w:rPr>
            </w:pPr>
            <w:r w:rsidRPr="002F672B">
              <w:rPr>
                <w:rFonts w:cs="Arial"/>
                <w:b/>
                <w:bCs/>
                <w:szCs w:val="16"/>
              </w:rPr>
              <w:t>Outcome C\Category a</w:t>
            </w:r>
          </w:p>
        </w:tc>
        <w:tc>
          <w:tcPr>
            <w:tcW w:w="914" w:type="pct"/>
            <w:noWrap/>
            <w:vAlign w:val="bottom"/>
          </w:tcPr>
          <w:p w14:paraId="0E5168FC" w14:textId="0DABA1EE" w:rsidR="00AB65CA" w:rsidRPr="00AB65CA" w:rsidRDefault="00AB65CA" w:rsidP="00AB65CA">
            <w:pPr>
              <w:jc w:val="center"/>
              <w:rPr>
                <w:rFonts w:cs="Arial"/>
                <w:b/>
                <w:szCs w:val="16"/>
              </w:rPr>
            </w:pPr>
            <w:r w:rsidRPr="00AB65CA">
              <w:rPr>
                <w:rFonts w:cs="Arial"/>
                <w:color w:val="000000"/>
                <w:szCs w:val="16"/>
              </w:rPr>
              <w:t>1.26</w:t>
            </w:r>
          </w:p>
        </w:tc>
        <w:tc>
          <w:tcPr>
            <w:tcW w:w="921" w:type="pct"/>
            <w:noWrap/>
            <w:vAlign w:val="bottom"/>
          </w:tcPr>
          <w:p w14:paraId="64353B6D" w14:textId="0C6FF04B" w:rsidR="00AB65CA" w:rsidRPr="00AB65CA" w:rsidRDefault="00AB65CA" w:rsidP="00AB65CA">
            <w:pPr>
              <w:jc w:val="center"/>
              <w:rPr>
                <w:rFonts w:cs="Arial"/>
                <w:b/>
                <w:szCs w:val="16"/>
              </w:rPr>
            </w:pPr>
            <w:r w:rsidRPr="00AB65CA">
              <w:rPr>
                <w:rFonts w:cs="Arial"/>
                <w:color w:val="000000"/>
                <w:szCs w:val="16"/>
              </w:rPr>
              <w:t>2.6</w:t>
            </w:r>
          </w:p>
        </w:tc>
        <w:tc>
          <w:tcPr>
            <w:tcW w:w="919" w:type="pct"/>
            <w:noWrap/>
            <w:vAlign w:val="bottom"/>
          </w:tcPr>
          <w:p w14:paraId="6935A10F" w14:textId="3D623600" w:rsidR="00AB65CA" w:rsidRPr="00AB65CA" w:rsidRDefault="00AB65CA" w:rsidP="00AB65CA">
            <w:pPr>
              <w:jc w:val="center"/>
              <w:rPr>
                <w:rFonts w:cs="Arial"/>
                <w:b/>
                <w:szCs w:val="16"/>
              </w:rPr>
            </w:pPr>
            <w:r w:rsidRPr="00AB65CA">
              <w:rPr>
                <w:rFonts w:cs="Arial"/>
                <w:color w:val="000000"/>
                <w:szCs w:val="16"/>
              </w:rPr>
              <w:t>-1.33</w:t>
            </w:r>
          </w:p>
        </w:tc>
        <w:tc>
          <w:tcPr>
            <w:tcW w:w="912" w:type="pct"/>
            <w:noWrap/>
            <w:vAlign w:val="bottom"/>
          </w:tcPr>
          <w:p w14:paraId="49709BD5" w14:textId="7BBE8626" w:rsidR="00AB65CA" w:rsidRPr="00AB65CA" w:rsidRDefault="00AB65CA" w:rsidP="00AB65CA">
            <w:pPr>
              <w:jc w:val="center"/>
              <w:rPr>
                <w:rFonts w:cs="Arial"/>
                <w:b/>
                <w:szCs w:val="16"/>
              </w:rPr>
            </w:pPr>
            <w:r w:rsidRPr="00AB65CA">
              <w:rPr>
                <w:rFonts w:cs="Arial"/>
                <w:color w:val="000000"/>
                <w:szCs w:val="16"/>
              </w:rPr>
              <w:t>3.86</w:t>
            </w:r>
          </w:p>
        </w:tc>
      </w:tr>
    </w:tbl>
    <w:p w14:paraId="20396AF9" w14:textId="77777777" w:rsidR="00891EAC" w:rsidRDefault="00891EAC" w:rsidP="0081611B">
      <w:pPr>
        <w:rPr>
          <w:rFonts w:cs="Arial"/>
          <w:b/>
          <w:szCs w:val="16"/>
        </w:rPr>
      </w:pPr>
    </w:p>
    <w:tbl>
      <w:tblPr>
        <w:tblStyle w:val="TableGrid"/>
        <w:tblW w:w="5012" w:type="pct"/>
        <w:tblLook w:val="04A0" w:firstRow="1" w:lastRow="0" w:firstColumn="1" w:lastColumn="0" w:noHBand="0" w:noVBand="1"/>
        <w:tblCaption w:val="CAPPBOTCCATSD"/>
        <w:tblDescription w:val="Outcome\Category"/>
      </w:tblPr>
      <w:tblGrid>
        <w:gridCol w:w="2886"/>
        <w:gridCol w:w="1977"/>
        <w:gridCol w:w="1988"/>
        <w:gridCol w:w="1990"/>
        <w:gridCol w:w="1975"/>
      </w:tblGrid>
      <w:tr w:rsidR="00891EAC" w:rsidRPr="00F83501" w14:paraId="431F7150" w14:textId="77777777" w:rsidTr="00891EAC">
        <w:tc>
          <w:tcPr>
            <w:tcW w:w="1334" w:type="pct"/>
            <w:noWrap/>
            <w:hideMark/>
          </w:tcPr>
          <w:p w14:paraId="55C98841" w14:textId="77777777" w:rsidR="00891EAC" w:rsidRPr="00B05769" w:rsidRDefault="00891EAC" w:rsidP="00C452AB">
            <w:pPr>
              <w:keepNext/>
              <w:rPr>
                <w:rFonts w:cs="Arial"/>
                <w:b/>
                <w:bCs/>
                <w:szCs w:val="16"/>
              </w:rPr>
            </w:pPr>
            <w:r w:rsidRPr="00B05769">
              <w:rPr>
                <w:rFonts w:cs="Arial"/>
                <w:b/>
                <w:bCs/>
                <w:szCs w:val="16"/>
              </w:rPr>
              <w:t>Outcome\Category</w:t>
            </w:r>
          </w:p>
        </w:tc>
        <w:tc>
          <w:tcPr>
            <w:tcW w:w="914" w:type="pct"/>
            <w:noWrap/>
            <w:hideMark/>
          </w:tcPr>
          <w:p w14:paraId="2F7D0F7D" w14:textId="77777777" w:rsidR="00891EAC" w:rsidRPr="00B05769" w:rsidRDefault="00891EAC" w:rsidP="00C452AB">
            <w:pPr>
              <w:keepNext/>
              <w:jc w:val="center"/>
              <w:rPr>
                <w:rFonts w:cs="Arial"/>
                <w:b/>
                <w:bCs/>
                <w:szCs w:val="16"/>
              </w:rPr>
            </w:pPr>
            <w:r w:rsidRPr="00B05769">
              <w:rPr>
                <w:rFonts w:cs="Arial"/>
                <w:b/>
                <w:bCs/>
                <w:szCs w:val="16"/>
              </w:rPr>
              <w:t>Mean</w:t>
            </w:r>
          </w:p>
        </w:tc>
        <w:tc>
          <w:tcPr>
            <w:tcW w:w="919" w:type="pct"/>
            <w:noWrap/>
            <w:hideMark/>
          </w:tcPr>
          <w:p w14:paraId="6BC7FB22" w14:textId="77777777" w:rsidR="00891EAC" w:rsidRPr="00B05769" w:rsidRDefault="00891EAC" w:rsidP="00C452AB">
            <w:pPr>
              <w:keepNext/>
              <w:jc w:val="center"/>
              <w:rPr>
                <w:rFonts w:cs="Arial"/>
                <w:b/>
                <w:bCs/>
                <w:szCs w:val="16"/>
              </w:rPr>
            </w:pPr>
            <w:proofErr w:type="spellStart"/>
            <w:r w:rsidRPr="00B05769">
              <w:rPr>
                <w:rFonts w:cs="Arial"/>
                <w:b/>
                <w:bCs/>
                <w:szCs w:val="16"/>
              </w:rPr>
              <w:t>StDev</w:t>
            </w:r>
            <w:proofErr w:type="spellEnd"/>
          </w:p>
        </w:tc>
        <w:tc>
          <w:tcPr>
            <w:tcW w:w="920" w:type="pct"/>
            <w:noWrap/>
            <w:hideMark/>
          </w:tcPr>
          <w:p w14:paraId="71FA478D" w14:textId="77777777" w:rsidR="00891EAC" w:rsidRPr="00B05769" w:rsidRDefault="00891EAC" w:rsidP="00C452AB">
            <w:pPr>
              <w:keepNext/>
              <w:jc w:val="center"/>
              <w:rPr>
                <w:rFonts w:cs="Arial"/>
                <w:b/>
                <w:bCs/>
                <w:szCs w:val="16"/>
              </w:rPr>
            </w:pPr>
            <w:r w:rsidRPr="00B05769">
              <w:rPr>
                <w:rFonts w:cs="Arial"/>
                <w:b/>
                <w:bCs/>
                <w:szCs w:val="16"/>
              </w:rPr>
              <w:t>-2SD</w:t>
            </w:r>
          </w:p>
        </w:tc>
        <w:tc>
          <w:tcPr>
            <w:tcW w:w="913" w:type="pct"/>
            <w:noWrap/>
            <w:hideMark/>
          </w:tcPr>
          <w:p w14:paraId="2997E456" w14:textId="77777777" w:rsidR="00891EAC" w:rsidRPr="00B05769" w:rsidRDefault="00891EAC" w:rsidP="00C452AB">
            <w:pPr>
              <w:keepNext/>
              <w:jc w:val="center"/>
              <w:rPr>
                <w:rFonts w:cs="Arial"/>
                <w:b/>
                <w:bCs/>
                <w:szCs w:val="16"/>
              </w:rPr>
            </w:pPr>
            <w:r w:rsidRPr="00B05769">
              <w:rPr>
                <w:rFonts w:cs="Arial"/>
                <w:b/>
                <w:bCs/>
                <w:szCs w:val="16"/>
              </w:rPr>
              <w:t>+2SD</w:t>
            </w:r>
          </w:p>
        </w:tc>
      </w:tr>
      <w:tr w:rsidR="00AB65CA" w:rsidRPr="00F83501" w14:paraId="215401CF" w14:textId="77777777" w:rsidTr="00E415ED">
        <w:tc>
          <w:tcPr>
            <w:tcW w:w="1334" w:type="pct"/>
            <w:noWrap/>
            <w:hideMark/>
          </w:tcPr>
          <w:p w14:paraId="284ADB23" w14:textId="77777777" w:rsidR="00AB65CA" w:rsidRPr="00B05769" w:rsidRDefault="00AB65CA" w:rsidP="00AB65CA">
            <w:pPr>
              <w:keepNext/>
              <w:rPr>
                <w:rFonts w:cs="Arial"/>
                <w:b/>
                <w:bCs/>
                <w:szCs w:val="16"/>
              </w:rPr>
            </w:pPr>
            <w:r w:rsidRPr="00B05769">
              <w:rPr>
                <w:rFonts w:cs="Arial"/>
                <w:b/>
                <w:bCs/>
                <w:szCs w:val="16"/>
              </w:rPr>
              <w:t>Outcome A\ Category b</w:t>
            </w:r>
          </w:p>
        </w:tc>
        <w:tc>
          <w:tcPr>
            <w:tcW w:w="914" w:type="pct"/>
            <w:noWrap/>
            <w:vAlign w:val="bottom"/>
            <w:hideMark/>
          </w:tcPr>
          <w:p w14:paraId="5AC595B8" w14:textId="5D6F3C46" w:rsidR="00AB65CA" w:rsidRPr="00AB65CA" w:rsidRDefault="00AB65CA" w:rsidP="00AB65CA">
            <w:pPr>
              <w:keepNext/>
              <w:tabs>
                <w:tab w:val="decimal" w:pos="882"/>
              </w:tabs>
              <w:rPr>
                <w:rFonts w:cs="Arial"/>
                <w:color w:val="000000"/>
                <w:szCs w:val="16"/>
              </w:rPr>
            </w:pPr>
            <w:r w:rsidRPr="00AB65CA">
              <w:rPr>
                <w:rFonts w:cs="Arial"/>
                <w:color w:val="000000"/>
                <w:szCs w:val="16"/>
              </w:rPr>
              <w:t>24.07</w:t>
            </w:r>
          </w:p>
        </w:tc>
        <w:tc>
          <w:tcPr>
            <w:tcW w:w="919" w:type="pct"/>
            <w:noWrap/>
            <w:vAlign w:val="bottom"/>
            <w:hideMark/>
          </w:tcPr>
          <w:p w14:paraId="690DA309" w14:textId="0F682033" w:rsidR="00AB65CA" w:rsidRPr="00AB65CA" w:rsidRDefault="00AB65CA" w:rsidP="00AB65CA">
            <w:pPr>
              <w:keepNext/>
              <w:tabs>
                <w:tab w:val="decimal" w:pos="886"/>
              </w:tabs>
              <w:rPr>
                <w:rFonts w:cs="Arial"/>
                <w:color w:val="000000"/>
                <w:szCs w:val="16"/>
              </w:rPr>
            </w:pPr>
            <w:r w:rsidRPr="00AB65CA">
              <w:rPr>
                <w:rFonts w:cs="Arial"/>
                <w:color w:val="000000"/>
                <w:szCs w:val="16"/>
              </w:rPr>
              <w:t>9.01</w:t>
            </w:r>
          </w:p>
        </w:tc>
        <w:tc>
          <w:tcPr>
            <w:tcW w:w="920" w:type="pct"/>
            <w:noWrap/>
            <w:vAlign w:val="bottom"/>
            <w:hideMark/>
          </w:tcPr>
          <w:p w14:paraId="4B347F63" w14:textId="28A8050B" w:rsidR="00AB65CA" w:rsidRPr="00AB65CA" w:rsidRDefault="00AB65CA" w:rsidP="00AB65CA">
            <w:pPr>
              <w:keepNext/>
              <w:tabs>
                <w:tab w:val="decimal" w:pos="886"/>
              </w:tabs>
              <w:rPr>
                <w:rFonts w:cs="Arial"/>
                <w:color w:val="000000"/>
                <w:szCs w:val="16"/>
              </w:rPr>
            </w:pPr>
            <w:r w:rsidRPr="00AB65CA">
              <w:rPr>
                <w:rFonts w:cs="Arial"/>
                <w:color w:val="000000"/>
                <w:szCs w:val="16"/>
              </w:rPr>
              <w:t>6.05</w:t>
            </w:r>
          </w:p>
        </w:tc>
        <w:tc>
          <w:tcPr>
            <w:tcW w:w="913" w:type="pct"/>
            <w:noWrap/>
            <w:vAlign w:val="bottom"/>
            <w:hideMark/>
          </w:tcPr>
          <w:p w14:paraId="3807E11E" w14:textId="50D63988" w:rsidR="00AB65CA" w:rsidRPr="00AB65CA" w:rsidRDefault="00AB65CA" w:rsidP="00AB65CA">
            <w:pPr>
              <w:keepNext/>
              <w:tabs>
                <w:tab w:val="decimal" w:pos="946"/>
              </w:tabs>
              <w:rPr>
                <w:rFonts w:cs="Arial"/>
                <w:color w:val="000000"/>
                <w:szCs w:val="16"/>
              </w:rPr>
            </w:pPr>
            <w:r w:rsidRPr="00AB65CA">
              <w:rPr>
                <w:rFonts w:cs="Arial"/>
                <w:color w:val="000000"/>
                <w:szCs w:val="16"/>
              </w:rPr>
              <w:t>42.08</w:t>
            </w:r>
          </w:p>
        </w:tc>
      </w:tr>
      <w:tr w:rsidR="00AB65CA" w:rsidRPr="00F83501" w14:paraId="42540E9E" w14:textId="77777777" w:rsidTr="00E415ED">
        <w:tc>
          <w:tcPr>
            <w:tcW w:w="1334" w:type="pct"/>
            <w:noWrap/>
            <w:hideMark/>
          </w:tcPr>
          <w:p w14:paraId="2ED627BC" w14:textId="77777777" w:rsidR="00AB65CA" w:rsidRPr="00B05769" w:rsidRDefault="00AB65CA" w:rsidP="00AB65CA">
            <w:pPr>
              <w:keepNext/>
              <w:rPr>
                <w:rFonts w:cs="Arial"/>
                <w:b/>
                <w:bCs/>
                <w:szCs w:val="16"/>
              </w:rPr>
            </w:pPr>
            <w:r w:rsidRPr="00B05769">
              <w:rPr>
                <w:rFonts w:cs="Arial"/>
                <w:b/>
                <w:bCs/>
                <w:szCs w:val="16"/>
              </w:rPr>
              <w:t>Outcome A\ Category c</w:t>
            </w:r>
          </w:p>
        </w:tc>
        <w:tc>
          <w:tcPr>
            <w:tcW w:w="914" w:type="pct"/>
            <w:noWrap/>
            <w:vAlign w:val="bottom"/>
            <w:hideMark/>
          </w:tcPr>
          <w:p w14:paraId="68BF205A" w14:textId="4569FBA2" w:rsidR="00AB65CA" w:rsidRPr="00AB65CA" w:rsidRDefault="00AB65CA" w:rsidP="00AB65CA">
            <w:pPr>
              <w:keepNext/>
              <w:tabs>
                <w:tab w:val="decimal" w:pos="882"/>
              </w:tabs>
              <w:rPr>
                <w:rFonts w:cs="Arial"/>
                <w:color w:val="000000"/>
                <w:szCs w:val="16"/>
              </w:rPr>
            </w:pPr>
            <w:r w:rsidRPr="00AB65CA">
              <w:rPr>
                <w:rFonts w:cs="Arial"/>
                <w:color w:val="000000"/>
                <w:szCs w:val="16"/>
              </w:rPr>
              <w:t>20.96</w:t>
            </w:r>
          </w:p>
        </w:tc>
        <w:tc>
          <w:tcPr>
            <w:tcW w:w="919" w:type="pct"/>
            <w:noWrap/>
            <w:vAlign w:val="bottom"/>
            <w:hideMark/>
          </w:tcPr>
          <w:p w14:paraId="0748FA5C" w14:textId="0DE75EE8" w:rsidR="00AB65CA" w:rsidRPr="00AB65CA" w:rsidRDefault="00AB65CA" w:rsidP="00AB65CA">
            <w:pPr>
              <w:keepNext/>
              <w:tabs>
                <w:tab w:val="decimal" w:pos="886"/>
              </w:tabs>
              <w:rPr>
                <w:rFonts w:cs="Arial"/>
                <w:color w:val="000000"/>
                <w:szCs w:val="16"/>
              </w:rPr>
            </w:pPr>
            <w:r w:rsidRPr="00AB65CA">
              <w:rPr>
                <w:rFonts w:cs="Arial"/>
                <w:color w:val="000000"/>
                <w:szCs w:val="16"/>
              </w:rPr>
              <w:t>13.11</w:t>
            </w:r>
          </w:p>
        </w:tc>
        <w:tc>
          <w:tcPr>
            <w:tcW w:w="920" w:type="pct"/>
            <w:noWrap/>
            <w:vAlign w:val="bottom"/>
            <w:hideMark/>
          </w:tcPr>
          <w:p w14:paraId="15B950D9" w14:textId="003090B9" w:rsidR="00AB65CA" w:rsidRPr="00AB65CA" w:rsidRDefault="00AB65CA" w:rsidP="00AB65CA">
            <w:pPr>
              <w:keepNext/>
              <w:tabs>
                <w:tab w:val="decimal" w:pos="886"/>
              </w:tabs>
              <w:rPr>
                <w:rFonts w:cs="Arial"/>
                <w:color w:val="000000"/>
                <w:szCs w:val="16"/>
              </w:rPr>
            </w:pPr>
            <w:r w:rsidRPr="00AB65CA">
              <w:rPr>
                <w:rFonts w:cs="Arial"/>
                <w:color w:val="000000"/>
                <w:szCs w:val="16"/>
              </w:rPr>
              <w:t>-5.27</w:t>
            </w:r>
          </w:p>
        </w:tc>
        <w:tc>
          <w:tcPr>
            <w:tcW w:w="913" w:type="pct"/>
            <w:noWrap/>
            <w:vAlign w:val="bottom"/>
            <w:hideMark/>
          </w:tcPr>
          <w:p w14:paraId="015F5BDE" w14:textId="622CC3A6" w:rsidR="00AB65CA" w:rsidRPr="00AB65CA" w:rsidRDefault="00AB65CA" w:rsidP="00AB65CA">
            <w:pPr>
              <w:keepNext/>
              <w:tabs>
                <w:tab w:val="decimal" w:pos="946"/>
              </w:tabs>
              <w:rPr>
                <w:rFonts w:cs="Arial"/>
                <w:color w:val="000000"/>
                <w:szCs w:val="16"/>
              </w:rPr>
            </w:pPr>
            <w:r w:rsidRPr="00AB65CA">
              <w:rPr>
                <w:rFonts w:cs="Arial"/>
                <w:color w:val="000000"/>
                <w:szCs w:val="16"/>
              </w:rPr>
              <w:t>47.19</w:t>
            </w:r>
          </w:p>
        </w:tc>
      </w:tr>
      <w:tr w:rsidR="00AB65CA" w:rsidRPr="00F83501" w14:paraId="17F6CB09" w14:textId="77777777" w:rsidTr="00E415ED">
        <w:tc>
          <w:tcPr>
            <w:tcW w:w="1334" w:type="pct"/>
            <w:noWrap/>
            <w:hideMark/>
          </w:tcPr>
          <w:p w14:paraId="2DC19B5E" w14:textId="77777777" w:rsidR="00AB65CA" w:rsidRPr="00B05769" w:rsidRDefault="00AB65CA" w:rsidP="00AB65CA">
            <w:pPr>
              <w:keepNext/>
              <w:rPr>
                <w:rFonts w:cs="Arial"/>
                <w:b/>
                <w:bCs/>
                <w:szCs w:val="16"/>
              </w:rPr>
            </w:pPr>
            <w:r w:rsidRPr="00B05769">
              <w:rPr>
                <w:rFonts w:cs="Arial"/>
                <w:b/>
                <w:bCs/>
                <w:szCs w:val="16"/>
              </w:rPr>
              <w:t>Outcome A\ Category d</w:t>
            </w:r>
          </w:p>
        </w:tc>
        <w:tc>
          <w:tcPr>
            <w:tcW w:w="914" w:type="pct"/>
            <w:noWrap/>
            <w:vAlign w:val="bottom"/>
            <w:hideMark/>
          </w:tcPr>
          <w:p w14:paraId="77722D87" w14:textId="6A5AAB38" w:rsidR="00AB65CA" w:rsidRPr="00AB65CA" w:rsidRDefault="00AB65CA" w:rsidP="00AB65CA">
            <w:pPr>
              <w:keepNext/>
              <w:tabs>
                <w:tab w:val="decimal" w:pos="882"/>
              </w:tabs>
              <w:rPr>
                <w:rFonts w:cs="Arial"/>
                <w:color w:val="000000"/>
                <w:szCs w:val="16"/>
              </w:rPr>
            </w:pPr>
            <w:r w:rsidRPr="00AB65CA">
              <w:rPr>
                <w:rFonts w:cs="Arial"/>
                <w:color w:val="000000"/>
                <w:szCs w:val="16"/>
              </w:rPr>
              <w:t>26.97</w:t>
            </w:r>
          </w:p>
        </w:tc>
        <w:tc>
          <w:tcPr>
            <w:tcW w:w="919" w:type="pct"/>
            <w:noWrap/>
            <w:vAlign w:val="bottom"/>
            <w:hideMark/>
          </w:tcPr>
          <w:p w14:paraId="72497FB6" w14:textId="33676B7F" w:rsidR="00AB65CA" w:rsidRPr="00AB65CA" w:rsidRDefault="00AB65CA" w:rsidP="00AB65CA">
            <w:pPr>
              <w:keepNext/>
              <w:tabs>
                <w:tab w:val="decimal" w:pos="886"/>
              </w:tabs>
              <w:rPr>
                <w:rFonts w:cs="Arial"/>
                <w:color w:val="000000"/>
                <w:szCs w:val="16"/>
              </w:rPr>
            </w:pPr>
            <w:r w:rsidRPr="00AB65CA">
              <w:rPr>
                <w:rFonts w:cs="Arial"/>
                <w:color w:val="000000"/>
                <w:szCs w:val="16"/>
              </w:rPr>
              <w:t>9.61</w:t>
            </w:r>
          </w:p>
        </w:tc>
        <w:tc>
          <w:tcPr>
            <w:tcW w:w="920" w:type="pct"/>
            <w:noWrap/>
            <w:vAlign w:val="bottom"/>
            <w:hideMark/>
          </w:tcPr>
          <w:p w14:paraId="08B56A13" w14:textId="2193AD0C" w:rsidR="00AB65CA" w:rsidRPr="00AB65CA" w:rsidRDefault="00AB65CA" w:rsidP="00AB65CA">
            <w:pPr>
              <w:keepNext/>
              <w:tabs>
                <w:tab w:val="decimal" w:pos="886"/>
              </w:tabs>
              <w:rPr>
                <w:rFonts w:cs="Arial"/>
                <w:color w:val="000000"/>
                <w:szCs w:val="16"/>
              </w:rPr>
            </w:pPr>
            <w:r w:rsidRPr="00AB65CA">
              <w:rPr>
                <w:rFonts w:cs="Arial"/>
                <w:color w:val="000000"/>
                <w:szCs w:val="16"/>
              </w:rPr>
              <w:t>7.74</w:t>
            </w:r>
          </w:p>
        </w:tc>
        <w:tc>
          <w:tcPr>
            <w:tcW w:w="913" w:type="pct"/>
            <w:noWrap/>
            <w:vAlign w:val="bottom"/>
            <w:hideMark/>
          </w:tcPr>
          <w:p w14:paraId="32B2FF3E" w14:textId="39626AE5" w:rsidR="00AB65CA" w:rsidRPr="00AB65CA" w:rsidRDefault="00AB65CA" w:rsidP="00AB65CA">
            <w:pPr>
              <w:keepNext/>
              <w:tabs>
                <w:tab w:val="decimal" w:pos="946"/>
              </w:tabs>
              <w:rPr>
                <w:rFonts w:cs="Arial"/>
                <w:color w:val="000000"/>
                <w:szCs w:val="16"/>
              </w:rPr>
            </w:pPr>
            <w:r w:rsidRPr="00AB65CA">
              <w:rPr>
                <w:rFonts w:cs="Arial"/>
                <w:color w:val="000000"/>
                <w:szCs w:val="16"/>
              </w:rPr>
              <w:t>46.2</w:t>
            </w:r>
          </w:p>
        </w:tc>
      </w:tr>
      <w:tr w:rsidR="00AB65CA" w:rsidRPr="00F83501" w14:paraId="4D3CF099" w14:textId="77777777" w:rsidTr="00E415ED">
        <w:tc>
          <w:tcPr>
            <w:tcW w:w="1334" w:type="pct"/>
            <w:noWrap/>
            <w:hideMark/>
          </w:tcPr>
          <w:p w14:paraId="71D7E61E" w14:textId="77777777" w:rsidR="00AB65CA" w:rsidRPr="00B05769" w:rsidRDefault="00AB65CA" w:rsidP="00AB65CA">
            <w:pPr>
              <w:keepNext/>
              <w:rPr>
                <w:rFonts w:cs="Arial"/>
                <w:b/>
                <w:bCs/>
                <w:szCs w:val="16"/>
              </w:rPr>
            </w:pPr>
            <w:r w:rsidRPr="00B05769">
              <w:rPr>
                <w:rFonts w:cs="Arial"/>
                <w:b/>
                <w:bCs/>
                <w:szCs w:val="16"/>
              </w:rPr>
              <w:t>Outcome A\ Category e</w:t>
            </w:r>
          </w:p>
        </w:tc>
        <w:tc>
          <w:tcPr>
            <w:tcW w:w="914" w:type="pct"/>
            <w:noWrap/>
            <w:vAlign w:val="bottom"/>
            <w:hideMark/>
          </w:tcPr>
          <w:p w14:paraId="02A4028A" w14:textId="0FAB9C40" w:rsidR="00AB65CA" w:rsidRPr="00AB65CA" w:rsidRDefault="00AB65CA" w:rsidP="00AB65CA">
            <w:pPr>
              <w:keepNext/>
              <w:tabs>
                <w:tab w:val="decimal" w:pos="882"/>
              </w:tabs>
              <w:rPr>
                <w:rFonts w:cs="Arial"/>
                <w:color w:val="000000"/>
                <w:szCs w:val="16"/>
              </w:rPr>
            </w:pPr>
            <w:r w:rsidRPr="00AB65CA">
              <w:rPr>
                <w:rFonts w:cs="Arial"/>
                <w:color w:val="000000"/>
                <w:szCs w:val="16"/>
              </w:rPr>
              <w:t>26.43</w:t>
            </w:r>
          </w:p>
        </w:tc>
        <w:tc>
          <w:tcPr>
            <w:tcW w:w="919" w:type="pct"/>
            <w:noWrap/>
            <w:vAlign w:val="bottom"/>
            <w:hideMark/>
          </w:tcPr>
          <w:p w14:paraId="69022280" w14:textId="4595FA8C" w:rsidR="00AB65CA" w:rsidRPr="00AB65CA" w:rsidRDefault="00AB65CA" w:rsidP="00AB65CA">
            <w:pPr>
              <w:keepNext/>
              <w:tabs>
                <w:tab w:val="decimal" w:pos="886"/>
              </w:tabs>
              <w:rPr>
                <w:rFonts w:cs="Arial"/>
                <w:color w:val="000000"/>
                <w:szCs w:val="16"/>
              </w:rPr>
            </w:pPr>
            <w:r w:rsidRPr="00AB65CA">
              <w:rPr>
                <w:rFonts w:cs="Arial"/>
                <w:color w:val="000000"/>
                <w:szCs w:val="16"/>
              </w:rPr>
              <w:t>15.4</w:t>
            </w:r>
          </w:p>
        </w:tc>
        <w:tc>
          <w:tcPr>
            <w:tcW w:w="920" w:type="pct"/>
            <w:noWrap/>
            <w:vAlign w:val="bottom"/>
            <w:hideMark/>
          </w:tcPr>
          <w:p w14:paraId="11F27574" w14:textId="25B9A8A6" w:rsidR="00AB65CA" w:rsidRPr="00AB65CA" w:rsidRDefault="00AB65CA" w:rsidP="00AB65CA">
            <w:pPr>
              <w:keepNext/>
              <w:tabs>
                <w:tab w:val="decimal" w:pos="886"/>
              </w:tabs>
              <w:rPr>
                <w:rFonts w:cs="Arial"/>
                <w:color w:val="000000"/>
                <w:szCs w:val="16"/>
              </w:rPr>
            </w:pPr>
            <w:r w:rsidRPr="00AB65CA">
              <w:rPr>
                <w:rFonts w:cs="Arial"/>
                <w:color w:val="000000"/>
                <w:szCs w:val="16"/>
              </w:rPr>
              <w:t>-4.37</w:t>
            </w:r>
          </w:p>
        </w:tc>
        <w:tc>
          <w:tcPr>
            <w:tcW w:w="913" w:type="pct"/>
            <w:noWrap/>
            <w:vAlign w:val="bottom"/>
            <w:hideMark/>
          </w:tcPr>
          <w:p w14:paraId="1D908B4E" w14:textId="5E87AF56" w:rsidR="00AB65CA" w:rsidRPr="00AB65CA" w:rsidRDefault="00AB65CA" w:rsidP="00AB65CA">
            <w:pPr>
              <w:keepNext/>
              <w:tabs>
                <w:tab w:val="decimal" w:pos="946"/>
              </w:tabs>
              <w:rPr>
                <w:rFonts w:cs="Arial"/>
                <w:color w:val="000000"/>
                <w:szCs w:val="16"/>
              </w:rPr>
            </w:pPr>
            <w:r w:rsidRPr="00AB65CA">
              <w:rPr>
                <w:rFonts w:cs="Arial"/>
                <w:color w:val="000000"/>
                <w:szCs w:val="16"/>
              </w:rPr>
              <w:t>57.23</w:t>
            </w:r>
          </w:p>
        </w:tc>
      </w:tr>
      <w:tr w:rsidR="00AB65CA" w:rsidRPr="00F83501" w14:paraId="3C0B2AD9" w14:textId="77777777" w:rsidTr="00E415ED">
        <w:tc>
          <w:tcPr>
            <w:tcW w:w="1334" w:type="pct"/>
            <w:noWrap/>
            <w:hideMark/>
          </w:tcPr>
          <w:p w14:paraId="35E6FF70" w14:textId="77777777" w:rsidR="00AB65CA" w:rsidRPr="00B05769" w:rsidRDefault="00AB65CA" w:rsidP="00AB65CA">
            <w:pPr>
              <w:keepNext/>
              <w:rPr>
                <w:rFonts w:cs="Arial"/>
                <w:b/>
                <w:bCs/>
                <w:szCs w:val="16"/>
              </w:rPr>
            </w:pPr>
            <w:r w:rsidRPr="00B05769">
              <w:rPr>
                <w:rFonts w:cs="Arial"/>
                <w:b/>
                <w:bCs/>
                <w:szCs w:val="16"/>
              </w:rPr>
              <w:t>Outcome B\ Category b</w:t>
            </w:r>
          </w:p>
        </w:tc>
        <w:tc>
          <w:tcPr>
            <w:tcW w:w="914" w:type="pct"/>
            <w:noWrap/>
            <w:vAlign w:val="bottom"/>
            <w:hideMark/>
          </w:tcPr>
          <w:p w14:paraId="79E24E11" w14:textId="165E5794" w:rsidR="00AB65CA" w:rsidRPr="00AB65CA" w:rsidRDefault="00AB65CA" w:rsidP="00AB65CA">
            <w:pPr>
              <w:keepNext/>
              <w:tabs>
                <w:tab w:val="decimal" w:pos="882"/>
              </w:tabs>
              <w:rPr>
                <w:rFonts w:cs="Arial"/>
                <w:color w:val="000000"/>
                <w:szCs w:val="16"/>
              </w:rPr>
            </w:pPr>
            <w:r w:rsidRPr="00AB65CA">
              <w:rPr>
                <w:rFonts w:cs="Arial"/>
                <w:color w:val="000000"/>
                <w:szCs w:val="16"/>
              </w:rPr>
              <w:t>25.63</w:t>
            </w:r>
          </w:p>
        </w:tc>
        <w:tc>
          <w:tcPr>
            <w:tcW w:w="919" w:type="pct"/>
            <w:noWrap/>
            <w:vAlign w:val="bottom"/>
            <w:hideMark/>
          </w:tcPr>
          <w:p w14:paraId="79D9CEF8" w14:textId="3C527A5E" w:rsidR="00AB65CA" w:rsidRPr="00AB65CA" w:rsidRDefault="00AB65CA" w:rsidP="00AB65CA">
            <w:pPr>
              <w:keepNext/>
              <w:tabs>
                <w:tab w:val="decimal" w:pos="886"/>
              </w:tabs>
              <w:rPr>
                <w:rFonts w:cs="Arial"/>
                <w:color w:val="000000"/>
                <w:szCs w:val="16"/>
              </w:rPr>
            </w:pPr>
            <w:r w:rsidRPr="00AB65CA">
              <w:rPr>
                <w:rFonts w:cs="Arial"/>
                <w:color w:val="000000"/>
                <w:szCs w:val="16"/>
              </w:rPr>
              <w:t>9.71</w:t>
            </w:r>
          </w:p>
        </w:tc>
        <w:tc>
          <w:tcPr>
            <w:tcW w:w="920" w:type="pct"/>
            <w:noWrap/>
            <w:vAlign w:val="bottom"/>
            <w:hideMark/>
          </w:tcPr>
          <w:p w14:paraId="33E5F668" w14:textId="432D4B6E" w:rsidR="00AB65CA" w:rsidRPr="00AB65CA" w:rsidRDefault="00AB65CA" w:rsidP="00AB65CA">
            <w:pPr>
              <w:keepNext/>
              <w:tabs>
                <w:tab w:val="decimal" w:pos="886"/>
              </w:tabs>
              <w:rPr>
                <w:rFonts w:cs="Arial"/>
                <w:color w:val="000000"/>
                <w:szCs w:val="16"/>
              </w:rPr>
            </w:pPr>
            <w:r w:rsidRPr="00AB65CA">
              <w:rPr>
                <w:rFonts w:cs="Arial"/>
                <w:color w:val="000000"/>
                <w:szCs w:val="16"/>
              </w:rPr>
              <w:t>6.21</w:t>
            </w:r>
          </w:p>
        </w:tc>
        <w:tc>
          <w:tcPr>
            <w:tcW w:w="913" w:type="pct"/>
            <w:noWrap/>
            <w:vAlign w:val="bottom"/>
            <w:hideMark/>
          </w:tcPr>
          <w:p w14:paraId="182AC66E" w14:textId="3BB3884A" w:rsidR="00AB65CA" w:rsidRPr="00AB65CA" w:rsidRDefault="00AB65CA" w:rsidP="00AB65CA">
            <w:pPr>
              <w:keepNext/>
              <w:tabs>
                <w:tab w:val="decimal" w:pos="946"/>
              </w:tabs>
              <w:rPr>
                <w:rFonts w:cs="Arial"/>
                <w:color w:val="000000"/>
                <w:szCs w:val="16"/>
              </w:rPr>
            </w:pPr>
            <w:r w:rsidRPr="00AB65CA">
              <w:rPr>
                <w:rFonts w:cs="Arial"/>
                <w:color w:val="000000"/>
                <w:szCs w:val="16"/>
              </w:rPr>
              <w:t>45.04</w:t>
            </w:r>
          </w:p>
        </w:tc>
      </w:tr>
      <w:tr w:rsidR="00AB65CA" w:rsidRPr="00F83501" w14:paraId="19CCC4BA" w14:textId="77777777" w:rsidTr="00E415ED">
        <w:tc>
          <w:tcPr>
            <w:tcW w:w="1334" w:type="pct"/>
            <w:noWrap/>
            <w:hideMark/>
          </w:tcPr>
          <w:p w14:paraId="1377AC37" w14:textId="77777777" w:rsidR="00AB65CA" w:rsidRPr="00B05769" w:rsidRDefault="00AB65CA" w:rsidP="00AB65CA">
            <w:pPr>
              <w:keepNext/>
              <w:rPr>
                <w:rFonts w:cs="Arial"/>
                <w:b/>
                <w:bCs/>
                <w:szCs w:val="16"/>
              </w:rPr>
            </w:pPr>
            <w:r w:rsidRPr="00B05769">
              <w:rPr>
                <w:rFonts w:cs="Arial"/>
                <w:b/>
                <w:bCs/>
                <w:szCs w:val="16"/>
              </w:rPr>
              <w:t>Outcome B\ Category c</w:t>
            </w:r>
          </w:p>
        </w:tc>
        <w:tc>
          <w:tcPr>
            <w:tcW w:w="914" w:type="pct"/>
            <w:noWrap/>
            <w:vAlign w:val="bottom"/>
            <w:hideMark/>
          </w:tcPr>
          <w:p w14:paraId="7116643D" w14:textId="718043BD" w:rsidR="00AB65CA" w:rsidRPr="00AB65CA" w:rsidRDefault="00AB65CA" w:rsidP="00AB65CA">
            <w:pPr>
              <w:keepNext/>
              <w:tabs>
                <w:tab w:val="decimal" w:pos="882"/>
              </w:tabs>
              <w:rPr>
                <w:rFonts w:cs="Arial"/>
                <w:color w:val="000000"/>
                <w:szCs w:val="16"/>
              </w:rPr>
            </w:pPr>
            <w:r w:rsidRPr="00AB65CA">
              <w:rPr>
                <w:rFonts w:cs="Arial"/>
                <w:color w:val="000000"/>
                <w:szCs w:val="16"/>
              </w:rPr>
              <w:t>29.44</w:t>
            </w:r>
          </w:p>
        </w:tc>
        <w:tc>
          <w:tcPr>
            <w:tcW w:w="919" w:type="pct"/>
            <w:noWrap/>
            <w:vAlign w:val="bottom"/>
            <w:hideMark/>
          </w:tcPr>
          <w:p w14:paraId="03106316" w14:textId="60B3A717" w:rsidR="00AB65CA" w:rsidRPr="00AB65CA" w:rsidRDefault="00AB65CA" w:rsidP="00AB65CA">
            <w:pPr>
              <w:keepNext/>
              <w:tabs>
                <w:tab w:val="decimal" w:pos="886"/>
              </w:tabs>
              <w:rPr>
                <w:rFonts w:cs="Arial"/>
                <w:color w:val="000000"/>
                <w:szCs w:val="16"/>
              </w:rPr>
            </w:pPr>
            <w:r w:rsidRPr="00AB65CA">
              <w:rPr>
                <w:rFonts w:cs="Arial"/>
                <w:color w:val="000000"/>
                <w:szCs w:val="16"/>
              </w:rPr>
              <w:t>12.56</w:t>
            </w:r>
          </w:p>
        </w:tc>
        <w:tc>
          <w:tcPr>
            <w:tcW w:w="920" w:type="pct"/>
            <w:noWrap/>
            <w:vAlign w:val="bottom"/>
            <w:hideMark/>
          </w:tcPr>
          <w:p w14:paraId="26B5FE43" w14:textId="671DF9E4" w:rsidR="00AB65CA" w:rsidRPr="00AB65CA" w:rsidRDefault="00AB65CA" w:rsidP="00AB65CA">
            <w:pPr>
              <w:keepNext/>
              <w:tabs>
                <w:tab w:val="decimal" w:pos="886"/>
              </w:tabs>
              <w:rPr>
                <w:rFonts w:cs="Arial"/>
                <w:color w:val="000000"/>
                <w:szCs w:val="16"/>
              </w:rPr>
            </w:pPr>
            <w:r w:rsidRPr="00AB65CA">
              <w:rPr>
                <w:rFonts w:cs="Arial"/>
                <w:color w:val="000000"/>
                <w:szCs w:val="16"/>
              </w:rPr>
              <w:t>4.32</w:t>
            </w:r>
          </w:p>
        </w:tc>
        <w:tc>
          <w:tcPr>
            <w:tcW w:w="913" w:type="pct"/>
            <w:noWrap/>
            <w:vAlign w:val="bottom"/>
            <w:hideMark/>
          </w:tcPr>
          <w:p w14:paraId="2EE81DD2" w14:textId="0408862F" w:rsidR="00AB65CA" w:rsidRPr="00AB65CA" w:rsidRDefault="00AB65CA" w:rsidP="00AB65CA">
            <w:pPr>
              <w:keepNext/>
              <w:tabs>
                <w:tab w:val="decimal" w:pos="946"/>
              </w:tabs>
              <w:rPr>
                <w:rFonts w:cs="Arial"/>
                <w:color w:val="000000"/>
                <w:szCs w:val="16"/>
              </w:rPr>
            </w:pPr>
            <w:r w:rsidRPr="00AB65CA">
              <w:rPr>
                <w:rFonts w:cs="Arial"/>
                <w:color w:val="000000"/>
                <w:szCs w:val="16"/>
              </w:rPr>
              <w:t>54.57</w:t>
            </w:r>
          </w:p>
        </w:tc>
      </w:tr>
      <w:tr w:rsidR="00AB65CA" w:rsidRPr="00F83501" w14:paraId="05C7D05D" w14:textId="77777777" w:rsidTr="00E415ED">
        <w:tc>
          <w:tcPr>
            <w:tcW w:w="1334" w:type="pct"/>
            <w:noWrap/>
            <w:hideMark/>
          </w:tcPr>
          <w:p w14:paraId="5FA3D954" w14:textId="77777777" w:rsidR="00AB65CA" w:rsidRPr="00B05769" w:rsidRDefault="00AB65CA" w:rsidP="00AB65CA">
            <w:pPr>
              <w:keepNext/>
              <w:rPr>
                <w:rFonts w:cs="Arial"/>
                <w:b/>
                <w:bCs/>
                <w:szCs w:val="16"/>
              </w:rPr>
            </w:pPr>
            <w:r w:rsidRPr="00B05769">
              <w:rPr>
                <w:rFonts w:cs="Arial"/>
                <w:b/>
                <w:bCs/>
                <w:szCs w:val="16"/>
              </w:rPr>
              <w:t>Outcome B\ Category d</w:t>
            </w:r>
          </w:p>
        </w:tc>
        <w:tc>
          <w:tcPr>
            <w:tcW w:w="914" w:type="pct"/>
            <w:noWrap/>
            <w:vAlign w:val="bottom"/>
            <w:hideMark/>
          </w:tcPr>
          <w:p w14:paraId="2BD5497A" w14:textId="56107132" w:rsidR="00AB65CA" w:rsidRPr="00AB65CA" w:rsidRDefault="00AB65CA" w:rsidP="00AB65CA">
            <w:pPr>
              <w:keepNext/>
              <w:tabs>
                <w:tab w:val="decimal" w:pos="882"/>
              </w:tabs>
              <w:rPr>
                <w:rFonts w:cs="Arial"/>
                <w:color w:val="000000"/>
                <w:szCs w:val="16"/>
              </w:rPr>
            </w:pPr>
            <w:r w:rsidRPr="00AB65CA">
              <w:rPr>
                <w:rFonts w:cs="Arial"/>
                <w:color w:val="000000"/>
                <w:szCs w:val="16"/>
              </w:rPr>
              <w:t>31.02</w:t>
            </w:r>
          </w:p>
        </w:tc>
        <w:tc>
          <w:tcPr>
            <w:tcW w:w="919" w:type="pct"/>
            <w:noWrap/>
            <w:vAlign w:val="bottom"/>
            <w:hideMark/>
          </w:tcPr>
          <w:p w14:paraId="30709E9E" w14:textId="4FD366E0" w:rsidR="00AB65CA" w:rsidRPr="00AB65CA" w:rsidRDefault="00AB65CA" w:rsidP="00AB65CA">
            <w:pPr>
              <w:keepNext/>
              <w:tabs>
                <w:tab w:val="decimal" w:pos="886"/>
              </w:tabs>
              <w:rPr>
                <w:rFonts w:cs="Arial"/>
                <w:color w:val="000000"/>
                <w:szCs w:val="16"/>
              </w:rPr>
            </w:pPr>
            <w:r w:rsidRPr="00AB65CA">
              <w:rPr>
                <w:rFonts w:cs="Arial"/>
                <w:color w:val="000000"/>
                <w:szCs w:val="16"/>
              </w:rPr>
              <w:t>8.11</w:t>
            </w:r>
          </w:p>
        </w:tc>
        <w:tc>
          <w:tcPr>
            <w:tcW w:w="920" w:type="pct"/>
            <w:noWrap/>
            <w:vAlign w:val="bottom"/>
            <w:hideMark/>
          </w:tcPr>
          <w:p w14:paraId="6B81F04F" w14:textId="7C1E85CC" w:rsidR="00AB65CA" w:rsidRPr="00AB65CA" w:rsidRDefault="00AB65CA" w:rsidP="00AB65CA">
            <w:pPr>
              <w:keepNext/>
              <w:tabs>
                <w:tab w:val="decimal" w:pos="886"/>
              </w:tabs>
              <w:rPr>
                <w:rFonts w:cs="Arial"/>
                <w:color w:val="000000"/>
                <w:szCs w:val="16"/>
              </w:rPr>
            </w:pPr>
            <w:r w:rsidRPr="00AB65CA">
              <w:rPr>
                <w:rFonts w:cs="Arial"/>
                <w:color w:val="000000"/>
                <w:szCs w:val="16"/>
              </w:rPr>
              <w:t>14.8</w:t>
            </w:r>
          </w:p>
        </w:tc>
        <w:tc>
          <w:tcPr>
            <w:tcW w:w="913" w:type="pct"/>
            <w:noWrap/>
            <w:vAlign w:val="bottom"/>
            <w:hideMark/>
          </w:tcPr>
          <w:p w14:paraId="72ECE987" w14:textId="39FFEEED" w:rsidR="00AB65CA" w:rsidRPr="00AB65CA" w:rsidRDefault="00AB65CA" w:rsidP="00AB65CA">
            <w:pPr>
              <w:keepNext/>
              <w:tabs>
                <w:tab w:val="decimal" w:pos="946"/>
              </w:tabs>
              <w:rPr>
                <w:rFonts w:cs="Arial"/>
                <w:color w:val="000000"/>
                <w:szCs w:val="16"/>
              </w:rPr>
            </w:pPr>
            <w:r w:rsidRPr="00AB65CA">
              <w:rPr>
                <w:rFonts w:cs="Arial"/>
                <w:color w:val="000000"/>
                <w:szCs w:val="16"/>
              </w:rPr>
              <w:t>47.25</w:t>
            </w:r>
          </w:p>
        </w:tc>
      </w:tr>
      <w:tr w:rsidR="00AB65CA" w:rsidRPr="00F83501" w14:paraId="327D4090" w14:textId="77777777" w:rsidTr="00E415ED">
        <w:tc>
          <w:tcPr>
            <w:tcW w:w="1334" w:type="pct"/>
            <w:noWrap/>
            <w:hideMark/>
          </w:tcPr>
          <w:p w14:paraId="5D913E0D" w14:textId="77777777" w:rsidR="00AB65CA" w:rsidRPr="00B05769" w:rsidRDefault="00AB65CA" w:rsidP="00AB65CA">
            <w:pPr>
              <w:keepNext/>
              <w:rPr>
                <w:rFonts w:cs="Arial"/>
                <w:b/>
                <w:bCs/>
                <w:szCs w:val="16"/>
              </w:rPr>
            </w:pPr>
            <w:r w:rsidRPr="00B05769">
              <w:rPr>
                <w:rFonts w:cs="Arial"/>
                <w:b/>
                <w:bCs/>
                <w:szCs w:val="16"/>
              </w:rPr>
              <w:t>Outcome B\ Category e</w:t>
            </w:r>
          </w:p>
        </w:tc>
        <w:tc>
          <w:tcPr>
            <w:tcW w:w="914" w:type="pct"/>
            <w:noWrap/>
            <w:vAlign w:val="bottom"/>
            <w:hideMark/>
          </w:tcPr>
          <w:p w14:paraId="28065064" w14:textId="2A7DD1D7" w:rsidR="00AB65CA" w:rsidRPr="00AB65CA" w:rsidRDefault="00AB65CA" w:rsidP="00AB65CA">
            <w:pPr>
              <w:keepNext/>
              <w:tabs>
                <w:tab w:val="decimal" w:pos="882"/>
              </w:tabs>
              <w:rPr>
                <w:rFonts w:cs="Arial"/>
                <w:color w:val="000000"/>
                <w:szCs w:val="16"/>
              </w:rPr>
            </w:pPr>
            <w:r w:rsidRPr="00AB65CA">
              <w:rPr>
                <w:rFonts w:cs="Arial"/>
                <w:color w:val="000000"/>
                <w:szCs w:val="16"/>
              </w:rPr>
              <w:t>12.51</w:t>
            </w:r>
          </w:p>
        </w:tc>
        <w:tc>
          <w:tcPr>
            <w:tcW w:w="919" w:type="pct"/>
            <w:noWrap/>
            <w:vAlign w:val="bottom"/>
            <w:hideMark/>
          </w:tcPr>
          <w:p w14:paraId="1546D3BD" w14:textId="37E7F37B" w:rsidR="00AB65CA" w:rsidRPr="00AB65CA" w:rsidRDefault="00AB65CA" w:rsidP="00AB65CA">
            <w:pPr>
              <w:keepNext/>
              <w:tabs>
                <w:tab w:val="decimal" w:pos="886"/>
              </w:tabs>
              <w:rPr>
                <w:rFonts w:cs="Arial"/>
                <w:color w:val="000000"/>
                <w:szCs w:val="16"/>
              </w:rPr>
            </w:pPr>
            <w:r w:rsidRPr="00AB65CA">
              <w:rPr>
                <w:rFonts w:cs="Arial"/>
                <w:color w:val="000000"/>
                <w:szCs w:val="16"/>
              </w:rPr>
              <w:t>8.23</w:t>
            </w:r>
          </w:p>
        </w:tc>
        <w:tc>
          <w:tcPr>
            <w:tcW w:w="920" w:type="pct"/>
            <w:noWrap/>
            <w:vAlign w:val="bottom"/>
            <w:hideMark/>
          </w:tcPr>
          <w:p w14:paraId="5935B11B" w14:textId="58748F5F" w:rsidR="00AB65CA" w:rsidRPr="00AB65CA" w:rsidRDefault="00AB65CA" w:rsidP="00AB65CA">
            <w:pPr>
              <w:keepNext/>
              <w:tabs>
                <w:tab w:val="decimal" w:pos="886"/>
              </w:tabs>
              <w:rPr>
                <w:rFonts w:cs="Arial"/>
                <w:color w:val="000000"/>
                <w:szCs w:val="16"/>
              </w:rPr>
            </w:pPr>
            <w:r w:rsidRPr="00AB65CA">
              <w:rPr>
                <w:rFonts w:cs="Arial"/>
                <w:color w:val="000000"/>
                <w:szCs w:val="16"/>
              </w:rPr>
              <w:t>-3.96</w:t>
            </w:r>
          </w:p>
        </w:tc>
        <w:tc>
          <w:tcPr>
            <w:tcW w:w="913" w:type="pct"/>
            <w:noWrap/>
            <w:vAlign w:val="bottom"/>
            <w:hideMark/>
          </w:tcPr>
          <w:p w14:paraId="7BD84287" w14:textId="0AAD199D" w:rsidR="00AB65CA" w:rsidRPr="00AB65CA" w:rsidRDefault="00AB65CA" w:rsidP="00AB65CA">
            <w:pPr>
              <w:keepNext/>
              <w:tabs>
                <w:tab w:val="decimal" w:pos="946"/>
              </w:tabs>
              <w:rPr>
                <w:rFonts w:cs="Arial"/>
                <w:color w:val="000000"/>
                <w:szCs w:val="16"/>
              </w:rPr>
            </w:pPr>
            <w:r w:rsidRPr="00AB65CA">
              <w:rPr>
                <w:rFonts w:cs="Arial"/>
                <w:color w:val="000000"/>
                <w:szCs w:val="16"/>
              </w:rPr>
              <w:t>28.98</w:t>
            </w:r>
          </w:p>
        </w:tc>
      </w:tr>
      <w:tr w:rsidR="00AB65CA" w:rsidRPr="00F83501" w14:paraId="4B5BB26D" w14:textId="77777777" w:rsidTr="00E415ED">
        <w:tc>
          <w:tcPr>
            <w:tcW w:w="1334" w:type="pct"/>
            <w:noWrap/>
            <w:hideMark/>
          </w:tcPr>
          <w:p w14:paraId="0A22902F" w14:textId="77777777" w:rsidR="00AB65CA" w:rsidRPr="00B05769" w:rsidRDefault="00AB65CA" w:rsidP="00AB65CA">
            <w:pPr>
              <w:keepNext/>
              <w:rPr>
                <w:rFonts w:cs="Arial"/>
                <w:b/>
                <w:bCs/>
                <w:szCs w:val="16"/>
              </w:rPr>
            </w:pPr>
            <w:r w:rsidRPr="00B05769">
              <w:rPr>
                <w:rFonts w:cs="Arial"/>
                <w:b/>
                <w:bCs/>
                <w:szCs w:val="16"/>
              </w:rPr>
              <w:t>Outcome C\ Category b</w:t>
            </w:r>
          </w:p>
        </w:tc>
        <w:tc>
          <w:tcPr>
            <w:tcW w:w="914" w:type="pct"/>
            <w:noWrap/>
            <w:vAlign w:val="bottom"/>
            <w:hideMark/>
          </w:tcPr>
          <w:p w14:paraId="6B021391" w14:textId="2DBC574E" w:rsidR="00AB65CA" w:rsidRPr="00AB65CA" w:rsidRDefault="00AB65CA" w:rsidP="00AB65CA">
            <w:pPr>
              <w:keepNext/>
              <w:tabs>
                <w:tab w:val="decimal" w:pos="882"/>
              </w:tabs>
              <w:rPr>
                <w:rFonts w:cs="Arial"/>
                <w:color w:val="000000"/>
                <w:szCs w:val="16"/>
              </w:rPr>
            </w:pPr>
            <w:r w:rsidRPr="00AB65CA">
              <w:rPr>
                <w:rFonts w:cs="Arial"/>
                <w:color w:val="000000"/>
                <w:szCs w:val="16"/>
              </w:rPr>
              <w:t>20.98</w:t>
            </w:r>
          </w:p>
        </w:tc>
        <w:tc>
          <w:tcPr>
            <w:tcW w:w="919" w:type="pct"/>
            <w:noWrap/>
            <w:vAlign w:val="bottom"/>
            <w:hideMark/>
          </w:tcPr>
          <w:p w14:paraId="49B5A03B" w14:textId="2D6E18D0" w:rsidR="00AB65CA" w:rsidRPr="00AB65CA" w:rsidRDefault="00AB65CA" w:rsidP="00AB65CA">
            <w:pPr>
              <w:keepNext/>
              <w:tabs>
                <w:tab w:val="decimal" w:pos="886"/>
              </w:tabs>
              <w:rPr>
                <w:rFonts w:cs="Arial"/>
                <w:color w:val="000000"/>
                <w:szCs w:val="16"/>
              </w:rPr>
            </w:pPr>
            <w:r w:rsidRPr="00AB65CA">
              <w:rPr>
                <w:rFonts w:cs="Arial"/>
                <w:color w:val="000000"/>
                <w:szCs w:val="16"/>
              </w:rPr>
              <w:t>8.89</w:t>
            </w:r>
          </w:p>
        </w:tc>
        <w:tc>
          <w:tcPr>
            <w:tcW w:w="920" w:type="pct"/>
            <w:noWrap/>
            <w:vAlign w:val="bottom"/>
            <w:hideMark/>
          </w:tcPr>
          <w:p w14:paraId="57D0C954" w14:textId="73BAB65B" w:rsidR="00AB65CA" w:rsidRPr="00AB65CA" w:rsidRDefault="00AB65CA" w:rsidP="00AB65CA">
            <w:pPr>
              <w:keepNext/>
              <w:tabs>
                <w:tab w:val="decimal" w:pos="886"/>
              </w:tabs>
              <w:rPr>
                <w:rFonts w:cs="Arial"/>
                <w:color w:val="000000"/>
                <w:szCs w:val="16"/>
              </w:rPr>
            </w:pPr>
            <w:r w:rsidRPr="00AB65CA">
              <w:rPr>
                <w:rFonts w:cs="Arial"/>
                <w:color w:val="000000"/>
                <w:szCs w:val="16"/>
              </w:rPr>
              <w:t>3.19</w:t>
            </w:r>
          </w:p>
        </w:tc>
        <w:tc>
          <w:tcPr>
            <w:tcW w:w="913" w:type="pct"/>
            <w:noWrap/>
            <w:vAlign w:val="bottom"/>
            <w:hideMark/>
          </w:tcPr>
          <w:p w14:paraId="7FC889CE" w14:textId="5CF2B63F" w:rsidR="00AB65CA" w:rsidRPr="00AB65CA" w:rsidRDefault="00AB65CA" w:rsidP="00AB65CA">
            <w:pPr>
              <w:keepNext/>
              <w:tabs>
                <w:tab w:val="decimal" w:pos="946"/>
              </w:tabs>
              <w:rPr>
                <w:rFonts w:cs="Arial"/>
                <w:color w:val="000000"/>
                <w:szCs w:val="16"/>
              </w:rPr>
            </w:pPr>
            <w:r w:rsidRPr="00AB65CA">
              <w:rPr>
                <w:rFonts w:cs="Arial"/>
                <w:color w:val="000000"/>
                <w:szCs w:val="16"/>
              </w:rPr>
              <w:t>38.76</w:t>
            </w:r>
          </w:p>
        </w:tc>
      </w:tr>
      <w:tr w:rsidR="00AB65CA" w:rsidRPr="00F83501" w14:paraId="347FD79F" w14:textId="77777777" w:rsidTr="00E415ED">
        <w:tc>
          <w:tcPr>
            <w:tcW w:w="1334" w:type="pct"/>
            <w:noWrap/>
            <w:hideMark/>
          </w:tcPr>
          <w:p w14:paraId="17D8CC8D" w14:textId="77777777" w:rsidR="00AB65CA" w:rsidRPr="00B05769" w:rsidRDefault="00AB65CA" w:rsidP="00AB65CA">
            <w:pPr>
              <w:keepNext/>
              <w:rPr>
                <w:rFonts w:cs="Arial"/>
                <w:b/>
                <w:bCs/>
                <w:szCs w:val="16"/>
              </w:rPr>
            </w:pPr>
            <w:r w:rsidRPr="00B05769">
              <w:rPr>
                <w:rFonts w:cs="Arial"/>
                <w:b/>
                <w:bCs/>
                <w:szCs w:val="16"/>
              </w:rPr>
              <w:t>Outcome C\ Category c</w:t>
            </w:r>
          </w:p>
        </w:tc>
        <w:tc>
          <w:tcPr>
            <w:tcW w:w="914" w:type="pct"/>
            <w:noWrap/>
            <w:vAlign w:val="bottom"/>
            <w:hideMark/>
          </w:tcPr>
          <w:p w14:paraId="732C059A" w14:textId="66466C05" w:rsidR="00AB65CA" w:rsidRPr="00AB65CA" w:rsidRDefault="00AB65CA" w:rsidP="00AB65CA">
            <w:pPr>
              <w:keepNext/>
              <w:tabs>
                <w:tab w:val="decimal" w:pos="882"/>
              </w:tabs>
              <w:rPr>
                <w:rFonts w:cs="Arial"/>
                <w:color w:val="000000"/>
                <w:szCs w:val="16"/>
              </w:rPr>
            </w:pPr>
            <w:r w:rsidRPr="00AB65CA">
              <w:rPr>
                <w:rFonts w:cs="Arial"/>
                <w:color w:val="000000"/>
                <w:szCs w:val="16"/>
              </w:rPr>
              <w:t>23.49</w:t>
            </w:r>
          </w:p>
        </w:tc>
        <w:tc>
          <w:tcPr>
            <w:tcW w:w="919" w:type="pct"/>
            <w:noWrap/>
            <w:vAlign w:val="bottom"/>
            <w:hideMark/>
          </w:tcPr>
          <w:p w14:paraId="7ADFD09D" w14:textId="36AAF38D" w:rsidR="00AB65CA" w:rsidRPr="00AB65CA" w:rsidRDefault="00AB65CA" w:rsidP="00AB65CA">
            <w:pPr>
              <w:keepNext/>
              <w:tabs>
                <w:tab w:val="decimal" w:pos="886"/>
              </w:tabs>
              <w:rPr>
                <w:rFonts w:cs="Arial"/>
                <w:color w:val="000000"/>
                <w:szCs w:val="16"/>
              </w:rPr>
            </w:pPr>
            <w:r w:rsidRPr="00AB65CA">
              <w:rPr>
                <w:rFonts w:cs="Arial"/>
                <w:color w:val="000000"/>
                <w:szCs w:val="16"/>
              </w:rPr>
              <w:t>13.59</w:t>
            </w:r>
          </w:p>
        </w:tc>
        <w:tc>
          <w:tcPr>
            <w:tcW w:w="920" w:type="pct"/>
            <w:noWrap/>
            <w:vAlign w:val="bottom"/>
            <w:hideMark/>
          </w:tcPr>
          <w:p w14:paraId="775317FC" w14:textId="574E4C1A" w:rsidR="00AB65CA" w:rsidRPr="00AB65CA" w:rsidRDefault="00AB65CA" w:rsidP="00AB65CA">
            <w:pPr>
              <w:keepNext/>
              <w:tabs>
                <w:tab w:val="decimal" w:pos="886"/>
              </w:tabs>
              <w:rPr>
                <w:rFonts w:cs="Arial"/>
                <w:color w:val="000000"/>
                <w:szCs w:val="16"/>
              </w:rPr>
            </w:pPr>
            <w:r w:rsidRPr="00AB65CA">
              <w:rPr>
                <w:rFonts w:cs="Arial"/>
                <w:color w:val="000000"/>
                <w:szCs w:val="16"/>
              </w:rPr>
              <w:t>-3.68</w:t>
            </w:r>
          </w:p>
        </w:tc>
        <w:tc>
          <w:tcPr>
            <w:tcW w:w="913" w:type="pct"/>
            <w:noWrap/>
            <w:vAlign w:val="bottom"/>
            <w:hideMark/>
          </w:tcPr>
          <w:p w14:paraId="49CC0F9D" w14:textId="71CA6027" w:rsidR="00AB65CA" w:rsidRPr="00AB65CA" w:rsidRDefault="00AB65CA" w:rsidP="00AB65CA">
            <w:pPr>
              <w:keepNext/>
              <w:tabs>
                <w:tab w:val="decimal" w:pos="946"/>
              </w:tabs>
              <w:rPr>
                <w:rFonts w:cs="Arial"/>
                <w:color w:val="000000"/>
                <w:szCs w:val="16"/>
              </w:rPr>
            </w:pPr>
            <w:r w:rsidRPr="00AB65CA">
              <w:rPr>
                <w:rFonts w:cs="Arial"/>
                <w:color w:val="000000"/>
                <w:szCs w:val="16"/>
              </w:rPr>
              <w:t>50.66</w:t>
            </w:r>
          </w:p>
        </w:tc>
      </w:tr>
      <w:tr w:rsidR="00AB65CA" w:rsidRPr="00F83501" w14:paraId="226F2021" w14:textId="77777777" w:rsidTr="00E415ED">
        <w:tc>
          <w:tcPr>
            <w:tcW w:w="1334" w:type="pct"/>
            <w:noWrap/>
            <w:hideMark/>
          </w:tcPr>
          <w:p w14:paraId="277FC395" w14:textId="77777777" w:rsidR="00AB65CA" w:rsidRPr="00B05769" w:rsidRDefault="00AB65CA" w:rsidP="00AB65CA">
            <w:pPr>
              <w:keepNext/>
              <w:rPr>
                <w:rFonts w:cs="Arial"/>
                <w:b/>
                <w:bCs/>
                <w:szCs w:val="16"/>
              </w:rPr>
            </w:pPr>
            <w:r w:rsidRPr="00B05769">
              <w:rPr>
                <w:rFonts w:cs="Arial"/>
                <w:b/>
                <w:bCs/>
                <w:szCs w:val="16"/>
              </w:rPr>
              <w:t>Outcome C\ Category d</w:t>
            </w:r>
          </w:p>
        </w:tc>
        <w:tc>
          <w:tcPr>
            <w:tcW w:w="914" w:type="pct"/>
            <w:noWrap/>
            <w:vAlign w:val="bottom"/>
            <w:hideMark/>
          </w:tcPr>
          <w:p w14:paraId="6B7EF648" w14:textId="7BD7A8C8" w:rsidR="00AB65CA" w:rsidRPr="00AB65CA" w:rsidRDefault="00AB65CA" w:rsidP="00AB65CA">
            <w:pPr>
              <w:keepNext/>
              <w:tabs>
                <w:tab w:val="decimal" w:pos="882"/>
              </w:tabs>
              <w:rPr>
                <w:rFonts w:cs="Arial"/>
                <w:color w:val="000000"/>
                <w:szCs w:val="16"/>
              </w:rPr>
            </w:pPr>
            <w:r w:rsidRPr="00AB65CA">
              <w:rPr>
                <w:rFonts w:cs="Arial"/>
                <w:color w:val="000000"/>
                <w:szCs w:val="16"/>
              </w:rPr>
              <w:t>33.36</w:t>
            </w:r>
          </w:p>
        </w:tc>
        <w:tc>
          <w:tcPr>
            <w:tcW w:w="919" w:type="pct"/>
            <w:noWrap/>
            <w:vAlign w:val="bottom"/>
            <w:hideMark/>
          </w:tcPr>
          <w:p w14:paraId="00BB091E" w14:textId="1B730129" w:rsidR="00AB65CA" w:rsidRPr="00AB65CA" w:rsidRDefault="00AB65CA" w:rsidP="00AB65CA">
            <w:pPr>
              <w:keepNext/>
              <w:tabs>
                <w:tab w:val="decimal" w:pos="886"/>
              </w:tabs>
              <w:rPr>
                <w:rFonts w:cs="Arial"/>
                <w:color w:val="000000"/>
                <w:szCs w:val="16"/>
              </w:rPr>
            </w:pPr>
            <w:r w:rsidRPr="00AB65CA">
              <w:rPr>
                <w:rFonts w:cs="Arial"/>
                <w:color w:val="000000"/>
                <w:szCs w:val="16"/>
              </w:rPr>
              <w:t>8.28</w:t>
            </w:r>
          </w:p>
        </w:tc>
        <w:tc>
          <w:tcPr>
            <w:tcW w:w="920" w:type="pct"/>
            <w:noWrap/>
            <w:vAlign w:val="bottom"/>
            <w:hideMark/>
          </w:tcPr>
          <w:p w14:paraId="2259792D" w14:textId="26004927" w:rsidR="00AB65CA" w:rsidRPr="00AB65CA" w:rsidRDefault="00AB65CA" w:rsidP="00AB65CA">
            <w:pPr>
              <w:keepNext/>
              <w:tabs>
                <w:tab w:val="decimal" w:pos="886"/>
              </w:tabs>
              <w:rPr>
                <w:rFonts w:cs="Arial"/>
                <w:color w:val="000000"/>
                <w:szCs w:val="16"/>
              </w:rPr>
            </w:pPr>
            <w:r w:rsidRPr="00AB65CA">
              <w:rPr>
                <w:rFonts w:cs="Arial"/>
                <w:color w:val="000000"/>
                <w:szCs w:val="16"/>
              </w:rPr>
              <w:t>16.8</w:t>
            </w:r>
          </w:p>
        </w:tc>
        <w:tc>
          <w:tcPr>
            <w:tcW w:w="913" w:type="pct"/>
            <w:noWrap/>
            <w:vAlign w:val="bottom"/>
            <w:hideMark/>
          </w:tcPr>
          <w:p w14:paraId="5D8A6C71" w14:textId="74032D0A" w:rsidR="00AB65CA" w:rsidRPr="00AB65CA" w:rsidRDefault="00AB65CA" w:rsidP="00AB65CA">
            <w:pPr>
              <w:keepNext/>
              <w:tabs>
                <w:tab w:val="decimal" w:pos="946"/>
              </w:tabs>
              <w:rPr>
                <w:rFonts w:cs="Arial"/>
                <w:color w:val="000000"/>
                <w:szCs w:val="16"/>
              </w:rPr>
            </w:pPr>
            <w:r w:rsidRPr="00AB65CA">
              <w:rPr>
                <w:rFonts w:cs="Arial"/>
                <w:color w:val="000000"/>
                <w:szCs w:val="16"/>
              </w:rPr>
              <w:t>49.93</w:t>
            </w:r>
          </w:p>
        </w:tc>
      </w:tr>
      <w:tr w:rsidR="00AB65CA" w:rsidRPr="00F83501" w14:paraId="5F41BC1C" w14:textId="77777777" w:rsidTr="00E415ED">
        <w:tc>
          <w:tcPr>
            <w:tcW w:w="1334" w:type="pct"/>
            <w:noWrap/>
            <w:hideMark/>
          </w:tcPr>
          <w:p w14:paraId="1C305188" w14:textId="77777777" w:rsidR="00AB65CA" w:rsidRPr="00B05769" w:rsidRDefault="00AB65CA" w:rsidP="00AB65CA">
            <w:pPr>
              <w:rPr>
                <w:rFonts w:cs="Arial"/>
                <w:b/>
                <w:bCs/>
                <w:szCs w:val="16"/>
              </w:rPr>
            </w:pPr>
            <w:r w:rsidRPr="00B05769">
              <w:rPr>
                <w:rFonts w:cs="Arial"/>
                <w:b/>
                <w:bCs/>
                <w:szCs w:val="16"/>
              </w:rPr>
              <w:t>Outcome C\ Category e</w:t>
            </w:r>
          </w:p>
        </w:tc>
        <w:tc>
          <w:tcPr>
            <w:tcW w:w="914" w:type="pct"/>
            <w:noWrap/>
            <w:vAlign w:val="bottom"/>
            <w:hideMark/>
          </w:tcPr>
          <w:p w14:paraId="04B48316" w14:textId="38E3CA99" w:rsidR="00AB65CA" w:rsidRPr="00AB65CA" w:rsidRDefault="00AB65CA" w:rsidP="00AB65CA">
            <w:pPr>
              <w:keepNext/>
              <w:tabs>
                <w:tab w:val="decimal" w:pos="882"/>
              </w:tabs>
              <w:rPr>
                <w:rFonts w:cs="Arial"/>
                <w:color w:val="000000"/>
                <w:szCs w:val="16"/>
              </w:rPr>
            </w:pPr>
            <w:r w:rsidRPr="00AB65CA">
              <w:rPr>
                <w:rFonts w:cs="Arial"/>
                <w:color w:val="000000"/>
                <w:szCs w:val="16"/>
              </w:rPr>
              <w:t>20.91</w:t>
            </w:r>
          </w:p>
        </w:tc>
        <w:tc>
          <w:tcPr>
            <w:tcW w:w="919" w:type="pct"/>
            <w:noWrap/>
            <w:vAlign w:val="bottom"/>
            <w:hideMark/>
          </w:tcPr>
          <w:p w14:paraId="1C158AB5" w14:textId="15E03410" w:rsidR="00AB65CA" w:rsidRPr="00AB65CA" w:rsidRDefault="00AB65CA" w:rsidP="00AB65CA">
            <w:pPr>
              <w:keepNext/>
              <w:tabs>
                <w:tab w:val="decimal" w:pos="886"/>
              </w:tabs>
              <w:rPr>
                <w:rFonts w:cs="Arial"/>
                <w:color w:val="000000"/>
                <w:szCs w:val="16"/>
              </w:rPr>
            </w:pPr>
            <w:r w:rsidRPr="00AB65CA">
              <w:rPr>
                <w:rFonts w:cs="Arial"/>
                <w:color w:val="000000"/>
                <w:szCs w:val="16"/>
              </w:rPr>
              <w:t>15.22</w:t>
            </w:r>
          </w:p>
        </w:tc>
        <w:tc>
          <w:tcPr>
            <w:tcW w:w="920" w:type="pct"/>
            <w:noWrap/>
            <w:vAlign w:val="bottom"/>
            <w:hideMark/>
          </w:tcPr>
          <w:p w14:paraId="0176FF93" w14:textId="553A138A" w:rsidR="00AB65CA" w:rsidRPr="00AB65CA" w:rsidRDefault="00AB65CA" w:rsidP="00AB65CA">
            <w:pPr>
              <w:keepNext/>
              <w:tabs>
                <w:tab w:val="decimal" w:pos="886"/>
              </w:tabs>
              <w:rPr>
                <w:rFonts w:cs="Arial"/>
                <w:color w:val="000000"/>
                <w:szCs w:val="16"/>
              </w:rPr>
            </w:pPr>
            <w:r w:rsidRPr="00AB65CA">
              <w:rPr>
                <w:rFonts w:cs="Arial"/>
                <w:color w:val="000000"/>
                <w:szCs w:val="16"/>
              </w:rPr>
              <w:t>-9.53</w:t>
            </w:r>
          </w:p>
        </w:tc>
        <w:tc>
          <w:tcPr>
            <w:tcW w:w="913" w:type="pct"/>
            <w:noWrap/>
            <w:vAlign w:val="bottom"/>
            <w:hideMark/>
          </w:tcPr>
          <w:p w14:paraId="4D375842" w14:textId="300C8B25" w:rsidR="00AB65CA" w:rsidRPr="00AB65CA" w:rsidRDefault="00AB65CA" w:rsidP="00AB65CA">
            <w:pPr>
              <w:keepNext/>
              <w:tabs>
                <w:tab w:val="decimal" w:pos="946"/>
              </w:tabs>
              <w:rPr>
                <w:rFonts w:cs="Arial"/>
                <w:color w:val="000000"/>
                <w:szCs w:val="16"/>
              </w:rPr>
            </w:pPr>
            <w:r w:rsidRPr="00AB65CA">
              <w:rPr>
                <w:rFonts w:cs="Arial"/>
                <w:color w:val="000000"/>
                <w:szCs w:val="16"/>
              </w:rPr>
              <w:t>51.35</w:t>
            </w:r>
          </w:p>
        </w:tc>
      </w:tr>
    </w:tbl>
    <w:p w14:paraId="77DA6532" w14:textId="77777777" w:rsidR="00891EAC" w:rsidRPr="00F83501" w:rsidRDefault="00891EAC" w:rsidP="00891EAC">
      <w:pPr>
        <w:spacing w:after="0"/>
      </w:pPr>
    </w:p>
    <w:tbl>
      <w:tblPr>
        <w:tblStyle w:val="TableGrid"/>
        <w:tblW w:w="5010" w:type="pct"/>
        <w:tblLook w:val="04A0" w:firstRow="1" w:lastRow="0" w:firstColumn="1" w:lastColumn="0" w:noHBand="0" w:noVBand="1"/>
        <w:tblCaption w:val="CAPPBANOMSCR"/>
        <w:tblDescription w:val="Data Anomalies Score"/>
      </w:tblPr>
      <w:tblGrid>
        <w:gridCol w:w="3170"/>
        <w:gridCol w:w="7642"/>
      </w:tblGrid>
      <w:tr w:rsidR="00891EAC" w:rsidRPr="00F83501" w14:paraId="35292F17" w14:textId="77777777" w:rsidTr="00891EAC">
        <w:tc>
          <w:tcPr>
            <w:tcW w:w="1466" w:type="pct"/>
            <w:hideMark/>
          </w:tcPr>
          <w:p w14:paraId="10692601" w14:textId="77777777" w:rsidR="00891EAC" w:rsidRPr="00891EAC" w:rsidRDefault="00891EAC" w:rsidP="00C452AB">
            <w:pPr>
              <w:keepNext/>
              <w:rPr>
                <w:b/>
                <w:bCs/>
              </w:rPr>
            </w:pPr>
            <w:r w:rsidRPr="00891EAC">
              <w:rPr>
                <w:b/>
                <w:bCs/>
              </w:rPr>
              <w:t>Data Anomalies Score</w:t>
            </w:r>
          </w:p>
        </w:tc>
        <w:tc>
          <w:tcPr>
            <w:tcW w:w="3534" w:type="pct"/>
            <w:hideMark/>
          </w:tcPr>
          <w:p w14:paraId="2CE3AB23" w14:textId="77777777" w:rsidR="00891EAC" w:rsidRPr="00891EAC" w:rsidRDefault="00891EAC" w:rsidP="00C452AB">
            <w:pPr>
              <w:keepNext/>
              <w:rPr>
                <w:b/>
                <w:bCs/>
              </w:rPr>
            </w:pPr>
            <w:r w:rsidRPr="00891EAC">
              <w:rPr>
                <w:b/>
                <w:bCs/>
              </w:rPr>
              <w:t>Total Points Received in All Progress Areas</w:t>
            </w:r>
          </w:p>
        </w:tc>
      </w:tr>
      <w:tr w:rsidR="00891EAC" w:rsidRPr="00F83501" w14:paraId="10BCDA77" w14:textId="77777777" w:rsidTr="00891EAC">
        <w:tc>
          <w:tcPr>
            <w:tcW w:w="1466" w:type="pct"/>
            <w:noWrap/>
            <w:hideMark/>
          </w:tcPr>
          <w:p w14:paraId="080042E0" w14:textId="77777777" w:rsidR="00891EAC" w:rsidRPr="00F83501" w:rsidRDefault="00891EAC" w:rsidP="00C452AB">
            <w:pPr>
              <w:keepNext/>
              <w:jc w:val="center"/>
            </w:pPr>
            <w:r w:rsidRPr="00F83501">
              <w:t>0</w:t>
            </w:r>
          </w:p>
        </w:tc>
        <w:tc>
          <w:tcPr>
            <w:tcW w:w="3534" w:type="pct"/>
            <w:noWrap/>
            <w:hideMark/>
          </w:tcPr>
          <w:p w14:paraId="0D1243B9" w14:textId="77777777" w:rsidR="00891EAC" w:rsidRPr="00F83501" w:rsidRDefault="00891EAC" w:rsidP="00C452AB">
            <w:pPr>
              <w:keepNext/>
            </w:pPr>
            <w:r w:rsidRPr="00F83501">
              <w:t>0 through 9 points</w:t>
            </w:r>
          </w:p>
        </w:tc>
      </w:tr>
      <w:tr w:rsidR="00891EAC" w:rsidRPr="00F83501" w14:paraId="0A9A03AA" w14:textId="77777777" w:rsidTr="00891EAC">
        <w:tc>
          <w:tcPr>
            <w:tcW w:w="1466" w:type="pct"/>
            <w:noWrap/>
            <w:hideMark/>
          </w:tcPr>
          <w:p w14:paraId="3815BAEF" w14:textId="77777777" w:rsidR="00891EAC" w:rsidRPr="00F83501" w:rsidRDefault="00891EAC" w:rsidP="00C452AB">
            <w:pPr>
              <w:keepNext/>
              <w:jc w:val="center"/>
            </w:pPr>
            <w:r w:rsidRPr="00F83501">
              <w:t>1</w:t>
            </w:r>
          </w:p>
        </w:tc>
        <w:tc>
          <w:tcPr>
            <w:tcW w:w="3534" w:type="pct"/>
            <w:noWrap/>
            <w:hideMark/>
          </w:tcPr>
          <w:p w14:paraId="34B1230A" w14:textId="77777777" w:rsidR="00891EAC" w:rsidRPr="00F83501" w:rsidRDefault="00891EAC" w:rsidP="00C452AB">
            <w:pPr>
              <w:keepNext/>
            </w:pPr>
            <w:r w:rsidRPr="00F83501">
              <w:t>10 through 12 points</w:t>
            </w:r>
          </w:p>
        </w:tc>
      </w:tr>
      <w:tr w:rsidR="00891EAC" w:rsidRPr="007F5570" w14:paraId="73CF834A" w14:textId="77777777" w:rsidTr="00891EAC">
        <w:tc>
          <w:tcPr>
            <w:tcW w:w="1466" w:type="pct"/>
            <w:noWrap/>
            <w:hideMark/>
          </w:tcPr>
          <w:p w14:paraId="518B39BE" w14:textId="77777777" w:rsidR="00891EAC" w:rsidRPr="00F83501" w:rsidRDefault="00891EAC" w:rsidP="00C452AB">
            <w:pPr>
              <w:jc w:val="center"/>
            </w:pPr>
            <w:r w:rsidRPr="00F83501">
              <w:t>2</w:t>
            </w:r>
          </w:p>
        </w:tc>
        <w:tc>
          <w:tcPr>
            <w:tcW w:w="3534" w:type="pct"/>
            <w:noWrap/>
            <w:hideMark/>
          </w:tcPr>
          <w:p w14:paraId="65331593" w14:textId="77777777" w:rsidR="00891EAC" w:rsidRPr="007F5570" w:rsidRDefault="00891EAC" w:rsidP="00C452AB">
            <w:r w:rsidRPr="00F83501">
              <w:t>13 through 15 points</w:t>
            </w:r>
          </w:p>
        </w:tc>
      </w:tr>
    </w:tbl>
    <w:p w14:paraId="18CA1F90" w14:textId="77777777" w:rsidR="00A67CEE" w:rsidRDefault="00A67CEE" w:rsidP="00B25161">
      <w:pPr>
        <w:rPr>
          <w:rFonts w:cs="Arial"/>
          <w:b/>
          <w:szCs w:val="16"/>
        </w:rPr>
      </w:pPr>
    </w:p>
    <w:p w14:paraId="5ED22CA3" w14:textId="5EAF7221" w:rsidR="00AA07A0" w:rsidRDefault="00AA07A0">
      <w:pPr>
        <w:spacing w:before="0" w:after="200" w:line="276" w:lineRule="auto"/>
        <w:rPr>
          <w:rFonts w:cs="Arial"/>
          <w:b/>
          <w:bCs/>
          <w:szCs w:val="16"/>
        </w:rPr>
      </w:pPr>
      <w:r>
        <w:rPr>
          <w:rFonts w:cs="Arial"/>
          <w:b/>
          <w:bCs/>
          <w:szCs w:val="16"/>
        </w:rPr>
        <w:br w:type="page"/>
      </w:r>
    </w:p>
    <w:p w14:paraId="0BBA3678" w14:textId="77777777" w:rsidR="00A67CEE" w:rsidRDefault="00A67CEE" w:rsidP="00B25161">
      <w:pPr>
        <w:rPr>
          <w:rFonts w:cs="Arial"/>
          <w:b/>
          <w:bCs/>
          <w:szCs w:val="16"/>
        </w:rPr>
      </w:pPr>
    </w:p>
    <w:p w14:paraId="72935D2D" w14:textId="424A0B3C" w:rsidR="00B25161" w:rsidRPr="00B25161" w:rsidRDefault="00B25161" w:rsidP="00B25161">
      <w:pPr>
        <w:rPr>
          <w:rFonts w:cs="Arial"/>
          <w:b/>
          <w:bCs/>
          <w:szCs w:val="16"/>
        </w:rPr>
      </w:pPr>
      <w:r w:rsidRPr="00B25161">
        <w:rPr>
          <w:rFonts w:cs="Arial"/>
          <w:b/>
          <w:bCs/>
          <w:szCs w:val="16"/>
        </w:rPr>
        <w:t>Anomalies in Your State’s Outcomes Data FFY 2022</w:t>
      </w:r>
    </w:p>
    <w:tbl>
      <w:tblPr>
        <w:tblStyle w:val="TableGrid1"/>
        <w:tblW w:w="10800" w:type="dxa"/>
        <w:tblLook w:val="04A0" w:firstRow="1" w:lastRow="0" w:firstColumn="1" w:lastColumn="0" w:noHBand="0" w:noVBand="1"/>
        <w:tblCaption w:val="C03ANOMOTC"/>
      </w:tblPr>
      <w:tblGrid>
        <w:gridCol w:w="5400"/>
        <w:gridCol w:w="5400"/>
      </w:tblGrid>
      <w:tr w:rsidR="00B25161" w:rsidRPr="00B25161" w14:paraId="09BD0AD1" w14:textId="77777777" w:rsidTr="00B25161">
        <w:tc>
          <w:tcPr>
            <w:tcW w:w="5400" w:type="dxa"/>
          </w:tcPr>
          <w:p w14:paraId="1A6A6C94" w14:textId="77777777" w:rsidR="00B25161" w:rsidRPr="00B25161" w:rsidRDefault="00B25161" w:rsidP="00B25161">
            <w:pPr>
              <w:rPr>
                <w:rFonts w:cs="Arial"/>
                <w:b/>
                <w:szCs w:val="16"/>
              </w:rPr>
            </w:pPr>
            <w:r w:rsidRPr="00B25161">
              <w:rPr>
                <w:rFonts w:cs="Arial"/>
                <w:b/>
                <w:szCs w:val="16"/>
              </w:rPr>
              <w:t>Number of Infants and Toddlers with IFSP’s Assessed in your State</w:t>
            </w:r>
          </w:p>
        </w:tc>
        <w:tc>
          <w:tcPr>
            <w:tcW w:w="5400" w:type="dxa"/>
          </w:tcPr>
          <w:p w14:paraId="7FD42C86" w14:textId="77777777" w:rsidR="00B25161" w:rsidRPr="00B25161" w:rsidRDefault="00B25161" w:rsidP="00B25161">
            <w:pPr>
              <w:rPr>
                <w:rFonts w:cs="Arial"/>
                <w:b/>
                <w:szCs w:val="16"/>
              </w:rPr>
            </w:pPr>
            <w:r w:rsidRPr="00B25161">
              <w:rPr>
                <w:rFonts w:cs="Arial"/>
                <w:b/>
                <w:szCs w:val="16"/>
              </w:rPr>
              <w:t>1,774</w:t>
            </w:r>
          </w:p>
        </w:tc>
      </w:tr>
    </w:tbl>
    <w:p w14:paraId="3454AA66" w14:textId="77777777" w:rsidR="00B25161" w:rsidRPr="00B25161" w:rsidRDefault="00B25161" w:rsidP="00B25161">
      <w:pPr>
        <w:rPr>
          <w:rFonts w:cs="Arial"/>
          <w:b/>
          <w:szCs w:val="16"/>
        </w:rPr>
      </w:pPr>
    </w:p>
    <w:tbl>
      <w:tblPr>
        <w:tblStyle w:val="TableGrid1"/>
        <w:tblW w:w="5013" w:type="pct"/>
        <w:tblLayout w:type="fixed"/>
        <w:tblLook w:val="04A0" w:firstRow="1" w:lastRow="0" w:firstColumn="1" w:lastColumn="0" w:noHBand="0" w:noVBand="1"/>
        <w:tblCaption w:val="C03OTCASTAT"/>
      </w:tblPr>
      <w:tblGrid>
        <w:gridCol w:w="1803"/>
        <w:gridCol w:w="1802"/>
        <w:gridCol w:w="1802"/>
        <w:gridCol w:w="1802"/>
        <w:gridCol w:w="1802"/>
        <w:gridCol w:w="1807"/>
      </w:tblGrid>
      <w:tr w:rsidR="00B25161" w:rsidRPr="00B25161" w14:paraId="317DB6C8" w14:textId="77777777" w:rsidTr="004A2E39">
        <w:trPr>
          <w:tblHeader/>
        </w:trPr>
        <w:tc>
          <w:tcPr>
            <w:tcW w:w="833" w:type="pct"/>
          </w:tcPr>
          <w:p w14:paraId="2F19E6EB" w14:textId="77777777" w:rsidR="00B25161" w:rsidRPr="00B25161" w:rsidRDefault="00B25161" w:rsidP="00B25161">
            <w:pPr>
              <w:rPr>
                <w:rFonts w:cs="Arial"/>
                <w:b/>
                <w:szCs w:val="16"/>
              </w:rPr>
            </w:pPr>
            <w:r w:rsidRPr="00B25161">
              <w:rPr>
                <w:rFonts w:cs="Arial"/>
                <w:b/>
                <w:szCs w:val="16"/>
              </w:rPr>
              <w:t>Outcome A — Positive Social Relationships</w:t>
            </w:r>
          </w:p>
        </w:tc>
        <w:tc>
          <w:tcPr>
            <w:tcW w:w="833" w:type="pct"/>
          </w:tcPr>
          <w:p w14:paraId="0FBC9360" w14:textId="77777777" w:rsidR="00B25161" w:rsidRPr="00B25161" w:rsidRDefault="00B25161" w:rsidP="00B25161">
            <w:pPr>
              <w:rPr>
                <w:rFonts w:cs="Arial"/>
                <w:b/>
                <w:szCs w:val="16"/>
              </w:rPr>
            </w:pPr>
            <w:r w:rsidRPr="00B25161">
              <w:rPr>
                <w:rFonts w:cs="Arial"/>
                <w:b/>
                <w:szCs w:val="16"/>
              </w:rPr>
              <w:t>Category a</w:t>
            </w:r>
          </w:p>
        </w:tc>
        <w:tc>
          <w:tcPr>
            <w:tcW w:w="833" w:type="pct"/>
          </w:tcPr>
          <w:p w14:paraId="506E80B9" w14:textId="77777777" w:rsidR="00B25161" w:rsidRPr="00B25161" w:rsidRDefault="00B25161" w:rsidP="00B25161">
            <w:pPr>
              <w:rPr>
                <w:rFonts w:cs="Arial"/>
                <w:b/>
                <w:szCs w:val="16"/>
              </w:rPr>
            </w:pPr>
            <w:r w:rsidRPr="00B25161">
              <w:rPr>
                <w:rFonts w:cs="Arial"/>
                <w:b/>
                <w:szCs w:val="16"/>
              </w:rPr>
              <w:t>Category b</w:t>
            </w:r>
          </w:p>
        </w:tc>
        <w:tc>
          <w:tcPr>
            <w:tcW w:w="833" w:type="pct"/>
          </w:tcPr>
          <w:p w14:paraId="3A4D118C" w14:textId="77777777" w:rsidR="00B25161" w:rsidRPr="00B25161" w:rsidRDefault="00B25161" w:rsidP="00B25161">
            <w:pPr>
              <w:rPr>
                <w:rFonts w:cs="Arial"/>
                <w:b/>
                <w:szCs w:val="16"/>
              </w:rPr>
            </w:pPr>
            <w:r w:rsidRPr="00B25161">
              <w:rPr>
                <w:rFonts w:cs="Arial"/>
                <w:b/>
                <w:szCs w:val="16"/>
              </w:rPr>
              <w:t>Category c</w:t>
            </w:r>
          </w:p>
        </w:tc>
        <w:tc>
          <w:tcPr>
            <w:tcW w:w="833" w:type="pct"/>
          </w:tcPr>
          <w:p w14:paraId="39A7079E" w14:textId="77777777" w:rsidR="00B25161" w:rsidRPr="00B25161" w:rsidRDefault="00B25161" w:rsidP="00B25161">
            <w:pPr>
              <w:rPr>
                <w:rFonts w:cs="Arial"/>
                <w:b/>
                <w:szCs w:val="16"/>
              </w:rPr>
            </w:pPr>
            <w:r w:rsidRPr="00B25161">
              <w:rPr>
                <w:rFonts w:cs="Arial"/>
                <w:b/>
                <w:szCs w:val="16"/>
              </w:rPr>
              <w:t>Category d</w:t>
            </w:r>
          </w:p>
        </w:tc>
        <w:tc>
          <w:tcPr>
            <w:tcW w:w="835" w:type="pct"/>
          </w:tcPr>
          <w:p w14:paraId="57DC177B" w14:textId="77777777" w:rsidR="00B25161" w:rsidRPr="00B25161" w:rsidRDefault="00B25161" w:rsidP="00B25161">
            <w:pPr>
              <w:rPr>
                <w:rFonts w:cs="Arial"/>
                <w:b/>
                <w:szCs w:val="16"/>
              </w:rPr>
            </w:pPr>
            <w:r w:rsidRPr="00B25161">
              <w:rPr>
                <w:rFonts w:cs="Arial"/>
                <w:b/>
                <w:szCs w:val="16"/>
              </w:rPr>
              <w:t>Category e</w:t>
            </w:r>
          </w:p>
        </w:tc>
      </w:tr>
      <w:tr w:rsidR="00B25161" w:rsidRPr="00B25161" w14:paraId="42746A82" w14:textId="77777777" w:rsidTr="00B25161">
        <w:tc>
          <w:tcPr>
            <w:tcW w:w="833" w:type="pct"/>
          </w:tcPr>
          <w:p w14:paraId="3ED9DC1D"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6DE2CFC" w14:textId="77777777" w:rsidR="00B25161" w:rsidRPr="00E0465B" w:rsidRDefault="00B25161" w:rsidP="00B25161">
            <w:pPr>
              <w:rPr>
                <w:rFonts w:cs="Arial"/>
                <w:bCs/>
                <w:szCs w:val="16"/>
              </w:rPr>
            </w:pPr>
            <w:r w:rsidRPr="00E0465B">
              <w:rPr>
                <w:rFonts w:cs="Arial"/>
                <w:bCs/>
                <w:szCs w:val="16"/>
              </w:rPr>
              <w:t>9</w:t>
            </w:r>
          </w:p>
        </w:tc>
        <w:tc>
          <w:tcPr>
            <w:tcW w:w="833" w:type="pct"/>
          </w:tcPr>
          <w:p w14:paraId="5470A154" w14:textId="77777777" w:rsidR="00B25161" w:rsidRPr="00E0465B" w:rsidRDefault="00B25161" w:rsidP="00B25161">
            <w:pPr>
              <w:rPr>
                <w:rFonts w:cs="Arial"/>
                <w:bCs/>
                <w:szCs w:val="16"/>
              </w:rPr>
            </w:pPr>
            <w:r w:rsidRPr="00E0465B">
              <w:rPr>
                <w:rFonts w:cs="Arial"/>
                <w:bCs/>
                <w:szCs w:val="16"/>
              </w:rPr>
              <w:t>334</w:t>
            </w:r>
          </w:p>
        </w:tc>
        <w:tc>
          <w:tcPr>
            <w:tcW w:w="833" w:type="pct"/>
          </w:tcPr>
          <w:p w14:paraId="7FE9EEED" w14:textId="77777777" w:rsidR="00B25161" w:rsidRPr="00E0465B" w:rsidRDefault="00B25161" w:rsidP="00B25161">
            <w:pPr>
              <w:rPr>
                <w:rFonts w:cs="Arial"/>
                <w:bCs/>
                <w:szCs w:val="16"/>
              </w:rPr>
            </w:pPr>
            <w:r w:rsidRPr="00E0465B">
              <w:rPr>
                <w:rFonts w:cs="Arial"/>
                <w:bCs/>
                <w:szCs w:val="16"/>
              </w:rPr>
              <w:t>933</w:t>
            </w:r>
          </w:p>
        </w:tc>
        <w:tc>
          <w:tcPr>
            <w:tcW w:w="833" w:type="pct"/>
          </w:tcPr>
          <w:p w14:paraId="4C7FEB04" w14:textId="77777777" w:rsidR="00B25161" w:rsidRPr="00E0465B" w:rsidRDefault="00B25161" w:rsidP="00B25161">
            <w:pPr>
              <w:rPr>
                <w:rFonts w:cs="Arial"/>
                <w:bCs/>
                <w:szCs w:val="16"/>
              </w:rPr>
            </w:pPr>
            <w:r w:rsidRPr="00E0465B">
              <w:rPr>
                <w:rFonts w:cs="Arial"/>
                <w:bCs/>
                <w:szCs w:val="16"/>
              </w:rPr>
              <w:t>407</w:t>
            </w:r>
          </w:p>
        </w:tc>
        <w:tc>
          <w:tcPr>
            <w:tcW w:w="835" w:type="pct"/>
          </w:tcPr>
          <w:p w14:paraId="6267C81A" w14:textId="77777777" w:rsidR="00B25161" w:rsidRPr="00E0465B" w:rsidRDefault="00B25161" w:rsidP="00B25161">
            <w:pPr>
              <w:rPr>
                <w:rFonts w:cs="Arial"/>
                <w:bCs/>
                <w:szCs w:val="16"/>
              </w:rPr>
            </w:pPr>
            <w:r w:rsidRPr="00E0465B">
              <w:rPr>
                <w:rFonts w:cs="Arial"/>
                <w:bCs/>
                <w:szCs w:val="16"/>
              </w:rPr>
              <w:t>91</w:t>
            </w:r>
          </w:p>
        </w:tc>
      </w:tr>
      <w:tr w:rsidR="00B25161" w:rsidRPr="00B25161" w14:paraId="2DCA894B" w14:textId="77777777" w:rsidTr="00B25161">
        <w:tc>
          <w:tcPr>
            <w:tcW w:w="833" w:type="pct"/>
          </w:tcPr>
          <w:p w14:paraId="0726C7A2" w14:textId="77777777" w:rsidR="00B25161" w:rsidRPr="00B25161" w:rsidRDefault="00B25161" w:rsidP="00B25161">
            <w:pPr>
              <w:rPr>
                <w:rFonts w:cs="Arial"/>
                <w:b/>
                <w:szCs w:val="16"/>
              </w:rPr>
            </w:pPr>
            <w:r w:rsidRPr="00B25161">
              <w:rPr>
                <w:rFonts w:cs="Arial"/>
                <w:b/>
                <w:szCs w:val="16"/>
              </w:rPr>
              <w:t>Performance (%)</w:t>
            </w:r>
          </w:p>
        </w:tc>
        <w:tc>
          <w:tcPr>
            <w:tcW w:w="833" w:type="pct"/>
          </w:tcPr>
          <w:p w14:paraId="75C5537C" w14:textId="0A2FA0E7" w:rsidR="00B25161" w:rsidRPr="00E0465B" w:rsidRDefault="00B25161" w:rsidP="00B25161">
            <w:pPr>
              <w:rPr>
                <w:rFonts w:cs="Arial"/>
                <w:bCs/>
                <w:szCs w:val="16"/>
              </w:rPr>
            </w:pPr>
            <w:r w:rsidRPr="00E0465B">
              <w:rPr>
                <w:rFonts w:cs="Arial"/>
                <w:bCs/>
                <w:szCs w:val="16"/>
              </w:rPr>
              <w:t>0.51%</w:t>
            </w:r>
          </w:p>
        </w:tc>
        <w:tc>
          <w:tcPr>
            <w:tcW w:w="833" w:type="pct"/>
          </w:tcPr>
          <w:p w14:paraId="2E20C0BF" w14:textId="0AF39490" w:rsidR="00B25161" w:rsidRPr="00E0465B" w:rsidRDefault="00B25161" w:rsidP="00B25161">
            <w:pPr>
              <w:rPr>
                <w:rFonts w:cs="Arial"/>
                <w:bCs/>
                <w:szCs w:val="16"/>
              </w:rPr>
            </w:pPr>
            <w:r w:rsidRPr="00E0465B">
              <w:rPr>
                <w:rFonts w:cs="Arial"/>
                <w:bCs/>
                <w:szCs w:val="16"/>
              </w:rPr>
              <w:t>18.83%</w:t>
            </w:r>
          </w:p>
        </w:tc>
        <w:tc>
          <w:tcPr>
            <w:tcW w:w="833" w:type="pct"/>
          </w:tcPr>
          <w:p w14:paraId="398F2D3D" w14:textId="68B45EA5" w:rsidR="00B25161" w:rsidRPr="00E0465B" w:rsidRDefault="00B25161" w:rsidP="00B25161">
            <w:pPr>
              <w:rPr>
                <w:rFonts w:cs="Arial"/>
                <w:bCs/>
                <w:szCs w:val="16"/>
              </w:rPr>
            </w:pPr>
            <w:r w:rsidRPr="00E0465B">
              <w:rPr>
                <w:rFonts w:cs="Arial"/>
                <w:bCs/>
                <w:szCs w:val="16"/>
              </w:rPr>
              <w:t>52.59%</w:t>
            </w:r>
          </w:p>
        </w:tc>
        <w:tc>
          <w:tcPr>
            <w:tcW w:w="833" w:type="pct"/>
          </w:tcPr>
          <w:p w14:paraId="44C74C6F" w14:textId="0FC8FB40" w:rsidR="00B25161" w:rsidRPr="00E0465B" w:rsidRDefault="00B25161" w:rsidP="00B25161">
            <w:pPr>
              <w:rPr>
                <w:rFonts w:cs="Arial"/>
                <w:bCs/>
                <w:szCs w:val="16"/>
              </w:rPr>
            </w:pPr>
            <w:r w:rsidRPr="00E0465B">
              <w:rPr>
                <w:rFonts w:cs="Arial"/>
                <w:bCs/>
                <w:szCs w:val="16"/>
              </w:rPr>
              <w:t>22.94%</w:t>
            </w:r>
          </w:p>
        </w:tc>
        <w:tc>
          <w:tcPr>
            <w:tcW w:w="835" w:type="pct"/>
          </w:tcPr>
          <w:p w14:paraId="2CCC1EE9" w14:textId="4C738514" w:rsidR="00B25161" w:rsidRPr="00E0465B" w:rsidRDefault="00B25161" w:rsidP="00B25161">
            <w:pPr>
              <w:rPr>
                <w:rFonts w:cs="Arial"/>
                <w:bCs/>
                <w:szCs w:val="16"/>
              </w:rPr>
            </w:pPr>
            <w:r w:rsidRPr="00E0465B">
              <w:rPr>
                <w:rFonts w:cs="Arial"/>
                <w:bCs/>
                <w:szCs w:val="16"/>
              </w:rPr>
              <w:t>5.13%</w:t>
            </w:r>
          </w:p>
        </w:tc>
      </w:tr>
      <w:tr w:rsidR="00B25161" w:rsidRPr="00B25161" w14:paraId="5C0C30A4" w14:textId="77777777" w:rsidTr="00B25161">
        <w:tc>
          <w:tcPr>
            <w:tcW w:w="833" w:type="pct"/>
          </w:tcPr>
          <w:p w14:paraId="4E01C202" w14:textId="77777777" w:rsidR="00B25161" w:rsidRPr="00B25161" w:rsidRDefault="00B25161" w:rsidP="00B25161">
            <w:pPr>
              <w:rPr>
                <w:rFonts w:cs="Arial"/>
                <w:b/>
                <w:szCs w:val="16"/>
              </w:rPr>
            </w:pPr>
            <w:r w:rsidRPr="00B25161">
              <w:rPr>
                <w:rFonts w:cs="Arial"/>
                <w:b/>
                <w:szCs w:val="16"/>
              </w:rPr>
              <w:t>Scores</w:t>
            </w:r>
          </w:p>
        </w:tc>
        <w:tc>
          <w:tcPr>
            <w:tcW w:w="833" w:type="pct"/>
          </w:tcPr>
          <w:p w14:paraId="347CB6AC" w14:textId="77777777" w:rsidR="00B25161" w:rsidRPr="00E0465B" w:rsidRDefault="00B25161" w:rsidP="00B25161">
            <w:pPr>
              <w:rPr>
                <w:rFonts w:cs="Arial"/>
                <w:bCs/>
                <w:szCs w:val="16"/>
              </w:rPr>
            </w:pPr>
            <w:r w:rsidRPr="00E0465B">
              <w:rPr>
                <w:rFonts w:cs="Arial"/>
                <w:bCs/>
                <w:szCs w:val="16"/>
              </w:rPr>
              <w:t>1</w:t>
            </w:r>
          </w:p>
        </w:tc>
        <w:tc>
          <w:tcPr>
            <w:tcW w:w="833" w:type="pct"/>
          </w:tcPr>
          <w:p w14:paraId="2F78A633" w14:textId="77777777" w:rsidR="00B25161" w:rsidRPr="00E0465B" w:rsidRDefault="00B25161" w:rsidP="00B25161">
            <w:pPr>
              <w:rPr>
                <w:rFonts w:cs="Arial"/>
                <w:bCs/>
                <w:szCs w:val="16"/>
              </w:rPr>
            </w:pPr>
            <w:r w:rsidRPr="00E0465B">
              <w:rPr>
                <w:rFonts w:cs="Arial"/>
                <w:bCs/>
                <w:szCs w:val="16"/>
              </w:rPr>
              <w:t>1</w:t>
            </w:r>
          </w:p>
        </w:tc>
        <w:tc>
          <w:tcPr>
            <w:tcW w:w="833" w:type="pct"/>
          </w:tcPr>
          <w:p w14:paraId="428CB178" w14:textId="77777777" w:rsidR="00B25161" w:rsidRPr="00E0465B" w:rsidRDefault="00B25161" w:rsidP="00B25161">
            <w:pPr>
              <w:rPr>
                <w:rFonts w:cs="Arial"/>
                <w:bCs/>
                <w:szCs w:val="16"/>
              </w:rPr>
            </w:pPr>
            <w:r w:rsidRPr="00E0465B">
              <w:rPr>
                <w:rFonts w:cs="Arial"/>
                <w:bCs/>
                <w:szCs w:val="16"/>
              </w:rPr>
              <w:t>0</w:t>
            </w:r>
          </w:p>
        </w:tc>
        <w:tc>
          <w:tcPr>
            <w:tcW w:w="833" w:type="pct"/>
          </w:tcPr>
          <w:p w14:paraId="2A811240" w14:textId="77777777" w:rsidR="00B25161" w:rsidRPr="00E0465B" w:rsidRDefault="00B25161" w:rsidP="00B25161">
            <w:pPr>
              <w:rPr>
                <w:rFonts w:cs="Arial"/>
                <w:bCs/>
                <w:szCs w:val="16"/>
              </w:rPr>
            </w:pPr>
            <w:r w:rsidRPr="00E0465B">
              <w:rPr>
                <w:rFonts w:cs="Arial"/>
                <w:bCs/>
                <w:szCs w:val="16"/>
              </w:rPr>
              <w:t>1</w:t>
            </w:r>
          </w:p>
        </w:tc>
        <w:tc>
          <w:tcPr>
            <w:tcW w:w="835" w:type="pct"/>
          </w:tcPr>
          <w:p w14:paraId="34A5E9EE" w14:textId="77777777" w:rsidR="00B25161" w:rsidRPr="00E0465B" w:rsidRDefault="00B25161" w:rsidP="00B25161">
            <w:pPr>
              <w:rPr>
                <w:rFonts w:cs="Arial"/>
                <w:bCs/>
                <w:szCs w:val="16"/>
              </w:rPr>
            </w:pPr>
            <w:r w:rsidRPr="00E0465B">
              <w:rPr>
                <w:rFonts w:cs="Arial"/>
                <w:bCs/>
                <w:szCs w:val="16"/>
              </w:rPr>
              <w:t>1</w:t>
            </w:r>
          </w:p>
        </w:tc>
      </w:tr>
    </w:tbl>
    <w:p w14:paraId="5AB2F3F8"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BSTAT"/>
      </w:tblPr>
      <w:tblGrid>
        <w:gridCol w:w="1804"/>
        <w:gridCol w:w="1801"/>
        <w:gridCol w:w="1801"/>
        <w:gridCol w:w="1801"/>
        <w:gridCol w:w="1800"/>
        <w:gridCol w:w="1800"/>
      </w:tblGrid>
      <w:tr w:rsidR="00B25161" w:rsidRPr="00B25161" w14:paraId="16DEAE31" w14:textId="77777777" w:rsidTr="004A2E39">
        <w:trPr>
          <w:tblHeader/>
        </w:trPr>
        <w:tc>
          <w:tcPr>
            <w:tcW w:w="834" w:type="pct"/>
          </w:tcPr>
          <w:p w14:paraId="1E465C9E" w14:textId="77777777" w:rsidR="00B25161" w:rsidRPr="00B25161" w:rsidRDefault="00B25161" w:rsidP="00B25161">
            <w:pPr>
              <w:rPr>
                <w:rFonts w:cs="Arial"/>
                <w:b/>
                <w:szCs w:val="16"/>
              </w:rPr>
            </w:pPr>
            <w:r w:rsidRPr="00B25161">
              <w:rPr>
                <w:rFonts w:cs="Arial"/>
                <w:b/>
                <w:szCs w:val="16"/>
              </w:rPr>
              <w:t>Outcome B — Knowledge and Skills</w:t>
            </w:r>
          </w:p>
        </w:tc>
        <w:tc>
          <w:tcPr>
            <w:tcW w:w="833" w:type="pct"/>
          </w:tcPr>
          <w:p w14:paraId="0C5BE5FB" w14:textId="77777777" w:rsidR="00B25161" w:rsidRPr="00B25161" w:rsidRDefault="00B25161" w:rsidP="00B25161">
            <w:pPr>
              <w:rPr>
                <w:rFonts w:cs="Arial"/>
                <w:b/>
                <w:szCs w:val="16"/>
              </w:rPr>
            </w:pPr>
            <w:r w:rsidRPr="00B25161">
              <w:rPr>
                <w:rFonts w:cs="Arial"/>
                <w:b/>
                <w:szCs w:val="16"/>
              </w:rPr>
              <w:t>Category a</w:t>
            </w:r>
          </w:p>
        </w:tc>
        <w:tc>
          <w:tcPr>
            <w:tcW w:w="833" w:type="pct"/>
          </w:tcPr>
          <w:p w14:paraId="3C9273B9" w14:textId="77777777" w:rsidR="00B25161" w:rsidRPr="00B25161" w:rsidRDefault="00B25161" w:rsidP="00B25161">
            <w:pPr>
              <w:rPr>
                <w:rFonts w:cs="Arial"/>
                <w:b/>
                <w:szCs w:val="16"/>
              </w:rPr>
            </w:pPr>
            <w:r w:rsidRPr="00B25161">
              <w:rPr>
                <w:rFonts w:cs="Arial"/>
                <w:b/>
                <w:szCs w:val="16"/>
              </w:rPr>
              <w:t>Category b</w:t>
            </w:r>
          </w:p>
        </w:tc>
        <w:tc>
          <w:tcPr>
            <w:tcW w:w="833" w:type="pct"/>
          </w:tcPr>
          <w:p w14:paraId="596E5A1F" w14:textId="77777777" w:rsidR="00B25161" w:rsidRPr="00B25161" w:rsidRDefault="00B25161" w:rsidP="00B25161">
            <w:pPr>
              <w:rPr>
                <w:rFonts w:cs="Arial"/>
                <w:b/>
                <w:szCs w:val="16"/>
              </w:rPr>
            </w:pPr>
            <w:r w:rsidRPr="00B25161">
              <w:rPr>
                <w:rFonts w:cs="Arial"/>
                <w:b/>
                <w:szCs w:val="16"/>
              </w:rPr>
              <w:t>Category c</w:t>
            </w:r>
          </w:p>
        </w:tc>
        <w:tc>
          <w:tcPr>
            <w:tcW w:w="833" w:type="pct"/>
          </w:tcPr>
          <w:p w14:paraId="79842FE6" w14:textId="77777777" w:rsidR="00B25161" w:rsidRPr="00B25161" w:rsidRDefault="00B25161" w:rsidP="00B25161">
            <w:pPr>
              <w:rPr>
                <w:rFonts w:cs="Arial"/>
                <w:b/>
                <w:szCs w:val="16"/>
              </w:rPr>
            </w:pPr>
            <w:r w:rsidRPr="00B25161">
              <w:rPr>
                <w:rFonts w:cs="Arial"/>
                <w:b/>
                <w:szCs w:val="16"/>
              </w:rPr>
              <w:t>Category d</w:t>
            </w:r>
          </w:p>
        </w:tc>
        <w:tc>
          <w:tcPr>
            <w:tcW w:w="833" w:type="pct"/>
          </w:tcPr>
          <w:p w14:paraId="5F2E862F" w14:textId="77777777" w:rsidR="00B25161" w:rsidRPr="00B25161" w:rsidRDefault="00B25161" w:rsidP="00B25161">
            <w:pPr>
              <w:rPr>
                <w:rFonts w:cs="Arial"/>
                <w:b/>
                <w:szCs w:val="16"/>
              </w:rPr>
            </w:pPr>
            <w:r w:rsidRPr="00B25161">
              <w:rPr>
                <w:rFonts w:cs="Arial"/>
                <w:b/>
                <w:szCs w:val="16"/>
              </w:rPr>
              <w:t>Category e</w:t>
            </w:r>
          </w:p>
        </w:tc>
      </w:tr>
      <w:tr w:rsidR="00B25161" w:rsidRPr="00B25161" w14:paraId="197327FC" w14:textId="77777777" w:rsidTr="00B25161">
        <w:tc>
          <w:tcPr>
            <w:tcW w:w="834" w:type="pct"/>
          </w:tcPr>
          <w:p w14:paraId="77CD3D9A"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17C138CE" w14:textId="77777777" w:rsidR="00B25161" w:rsidRPr="00E0465B" w:rsidRDefault="00B25161" w:rsidP="00B25161">
            <w:pPr>
              <w:rPr>
                <w:rFonts w:cs="Arial"/>
                <w:bCs/>
                <w:szCs w:val="16"/>
              </w:rPr>
            </w:pPr>
            <w:r w:rsidRPr="00E0465B">
              <w:rPr>
                <w:rFonts w:cs="Arial"/>
                <w:bCs/>
                <w:szCs w:val="16"/>
              </w:rPr>
              <w:t>7</w:t>
            </w:r>
          </w:p>
        </w:tc>
        <w:tc>
          <w:tcPr>
            <w:tcW w:w="833" w:type="pct"/>
          </w:tcPr>
          <w:p w14:paraId="6AACF40D" w14:textId="77777777" w:rsidR="00B25161" w:rsidRPr="00E0465B" w:rsidRDefault="00B25161" w:rsidP="00B25161">
            <w:pPr>
              <w:rPr>
                <w:rFonts w:cs="Arial"/>
                <w:bCs/>
                <w:szCs w:val="16"/>
              </w:rPr>
            </w:pPr>
            <w:r w:rsidRPr="00E0465B">
              <w:rPr>
                <w:rFonts w:cs="Arial"/>
                <w:bCs/>
                <w:szCs w:val="16"/>
              </w:rPr>
              <w:t>343</w:t>
            </w:r>
          </w:p>
        </w:tc>
        <w:tc>
          <w:tcPr>
            <w:tcW w:w="833" w:type="pct"/>
          </w:tcPr>
          <w:p w14:paraId="081B7FED" w14:textId="77777777" w:rsidR="00B25161" w:rsidRPr="00E0465B" w:rsidRDefault="00B25161" w:rsidP="00B25161">
            <w:pPr>
              <w:rPr>
                <w:rFonts w:cs="Arial"/>
                <w:bCs/>
                <w:szCs w:val="16"/>
              </w:rPr>
            </w:pPr>
            <w:r w:rsidRPr="00E0465B">
              <w:rPr>
                <w:rFonts w:cs="Arial"/>
                <w:bCs/>
                <w:szCs w:val="16"/>
              </w:rPr>
              <w:t>953</w:t>
            </w:r>
          </w:p>
        </w:tc>
        <w:tc>
          <w:tcPr>
            <w:tcW w:w="833" w:type="pct"/>
          </w:tcPr>
          <w:p w14:paraId="22075B7A" w14:textId="77777777" w:rsidR="00B25161" w:rsidRPr="00E0465B" w:rsidRDefault="00B25161" w:rsidP="00B25161">
            <w:pPr>
              <w:rPr>
                <w:rFonts w:cs="Arial"/>
                <w:bCs/>
                <w:szCs w:val="16"/>
              </w:rPr>
            </w:pPr>
            <w:r w:rsidRPr="00E0465B">
              <w:rPr>
                <w:rFonts w:cs="Arial"/>
                <w:bCs/>
                <w:szCs w:val="16"/>
              </w:rPr>
              <w:t>416</w:t>
            </w:r>
          </w:p>
        </w:tc>
        <w:tc>
          <w:tcPr>
            <w:tcW w:w="833" w:type="pct"/>
          </w:tcPr>
          <w:p w14:paraId="0F4D0987" w14:textId="77777777" w:rsidR="00B25161" w:rsidRPr="00E0465B" w:rsidRDefault="00B25161" w:rsidP="00B25161">
            <w:pPr>
              <w:rPr>
                <w:rFonts w:cs="Arial"/>
                <w:bCs/>
                <w:szCs w:val="16"/>
              </w:rPr>
            </w:pPr>
            <w:r w:rsidRPr="00E0465B">
              <w:rPr>
                <w:rFonts w:cs="Arial"/>
                <w:bCs/>
                <w:szCs w:val="16"/>
              </w:rPr>
              <w:t>55</w:t>
            </w:r>
          </w:p>
        </w:tc>
      </w:tr>
      <w:tr w:rsidR="00B25161" w:rsidRPr="00B25161" w14:paraId="6BFF2365" w14:textId="77777777" w:rsidTr="00B25161">
        <w:tc>
          <w:tcPr>
            <w:tcW w:w="834" w:type="pct"/>
          </w:tcPr>
          <w:p w14:paraId="71D19AE7" w14:textId="77777777" w:rsidR="00B25161" w:rsidRPr="00B25161" w:rsidRDefault="00B25161" w:rsidP="00B25161">
            <w:pPr>
              <w:rPr>
                <w:rFonts w:cs="Arial"/>
                <w:b/>
                <w:szCs w:val="16"/>
              </w:rPr>
            </w:pPr>
            <w:r w:rsidRPr="00B25161">
              <w:rPr>
                <w:rFonts w:cs="Arial"/>
                <w:b/>
                <w:szCs w:val="16"/>
              </w:rPr>
              <w:t>Performance (%)</w:t>
            </w:r>
          </w:p>
        </w:tc>
        <w:tc>
          <w:tcPr>
            <w:tcW w:w="833" w:type="pct"/>
          </w:tcPr>
          <w:p w14:paraId="11307E24" w14:textId="32B4B61D" w:rsidR="00B25161" w:rsidRPr="00E0465B" w:rsidRDefault="00B25161" w:rsidP="00B25161">
            <w:pPr>
              <w:rPr>
                <w:rFonts w:cs="Arial"/>
                <w:bCs/>
                <w:szCs w:val="16"/>
              </w:rPr>
            </w:pPr>
            <w:r w:rsidRPr="00E0465B">
              <w:rPr>
                <w:rFonts w:cs="Arial"/>
                <w:bCs/>
                <w:szCs w:val="16"/>
              </w:rPr>
              <w:t>0.39%</w:t>
            </w:r>
          </w:p>
        </w:tc>
        <w:tc>
          <w:tcPr>
            <w:tcW w:w="833" w:type="pct"/>
          </w:tcPr>
          <w:p w14:paraId="0C63E60D" w14:textId="01DF065D" w:rsidR="00B25161" w:rsidRPr="00E0465B" w:rsidRDefault="00B25161" w:rsidP="00B25161">
            <w:pPr>
              <w:rPr>
                <w:rFonts w:cs="Arial"/>
                <w:bCs/>
                <w:szCs w:val="16"/>
              </w:rPr>
            </w:pPr>
            <w:r w:rsidRPr="00E0465B">
              <w:rPr>
                <w:rFonts w:cs="Arial"/>
                <w:bCs/>
                <w:szCs w:val="16"/>
              </w:rPr>
              <w:t>19.33%</w:t>
            </w:r>
          </w:p>
        </w:tc>
        <w:tc>
          <w:tcPr>
            <w:tcW w:w="833" w:type="pct"/>
          </w:tcPr>
          <w:p w14:paraId="6F7D3253" w14:textId="7E946AA3" w:rsidR="00B25161" w:rsidRPr="00E0465B" w:rsidRDefault="00B25161" w:rsidP="00B25161">
            <w:pPr>
              <w:rPr>
                <w:rFonts w:cs="Arial"/>
                <w:bCs/>
                <w:szCs w:val="16"/>
              </w:rPr>
            </w:pPr>
            <w:r w:rsidRPr="00E0465B">
              <w:rPr>
                <w:rFonts w:cs="Arial"/>
                <w:bCs/>
                <w:szCs w:val="16"/>
              </w:rPr>
              <w:t>53.72%</w:t>
            </w:r>
          </w:p>
        </w:tc>
        <w:tc>
          <w:tcPr>
            <w:tcW w:w="833" w:type="pct"/>
          </w:tcPr>
          <w:p w14:paraId="31007D6F" w14:textId="0DE6AD7D" w:rsidR="00B25161" w:rsidRPr="00E0465B" w:rsidRDefault="00B25161" w:rsidP="00B25161">
            <w:pPr>
              <w:rPr>
                <w:rFonts w:cs="Arial"/>
                <w:bCs/>
                <w:szCs w:val="16"/>
              </w:rPr>
            </w:pPr>
            <w:r w:rsidRPr="00E0465B">
              <w:rPr>
                <w:rFonts w:cs="Arial"/>
                <w:bCs/>
                <w:szCs w:val="16"/>
              </w:rPr>
              <w:t>23.45%</w:t>
            </w:r>
          </w:p>
        </w:tc>
        <w:tc>
          <w:tcPr>
            <w:tcW w:w="833" w:type="pct"/>
          </w:tcPr>
          <w:p w14:paraId="7AD8D8B9" w14:textId="6DC41E9B" w:rsidR="00B25161" w:rsidRPr="00E0465B" w:rsidRDefault="00B25161" w:rsidP="00B25161">
            <w:pPr>
              <w:rPr>
                <w:rFonts w:cs="Arial"/>
                <w:bCs/>
                <w:szCs w:val="16"/>
              </w:rPr>
            </w:pPr>
            <w:r w:rsidRPr="00E0465B">
              <w:rPr>
                <w:rFonts w:cs="Arial"/>
                <w:bCs/>
                <w:szCs w:val="16"/>
              </w:rPr>
              <w:t>3.10%</w:t>
            </w:r>
          </w:p>
        </w:tc>
      </w:tr>
      <w:tr w:rsidR="00B25161" w:rsidRPr="00B25161" w14:paraId="6F91944D" w14:textId="77777777" w:rsidTr="00B25161">
        <w:tc>
          <w:tcPr>
            <w:tcW w:w="834" w:type="pct"/>
          </w:tcPr>
          <w:p w14:paraId="35FDD300" w14:textId="77777777" w:rsidR="00B25161" w:rsidRPr="00B25161" w:rsidRDefault="00B25161" w:rsidP="00B25161">
            <w:pPr>
              <w:rPr>
                <w:rFonts w:cs="Arial"/>
                <w:b/>
                <w:szCs w:val="16"/>
              </w:rPr>
            </w:pPr>
            <w:r w:rsidRPr="00B25161">
              <w:rPr>
                <w:rFonts w:cs="Arial"/>
                <w:b/>
                <w:szCs w:val="16"/>
              </w:rPr>
              <w:t>Scores</w:t>
            </w:r>
          </w:p>
        </w:tc>
        <w:tc>
          <w:tcPr>
            <w:tcW w:w="833" w:type="pct"/>
          </w:tcPr>
          <w:p w14:paraId="659483D6" w14:textId="77777777" w:rsidR="00B25161" w:rsidRPr="00E0465B" w:rsidRDefault="00B25161" w:rsidP="00B25161">
            <w:pPr>
              <w:rPr>
                <w:rFonts w:cs="Arial"/>
                <w:bCs/>
                <w:szCs w:val="16"/>
              </w:rPr>
            </w:pPr>
            <w:r w:rsidRPr="00E0465B">
              <w:rPr>
                <w:rFonts w:cs="Arial"/>
                <w:bCs/>
                <w:szCs w:val="16"/>
              </w:rPr>
              <w:t>1</w:t>
            </w:r>
          </w:p>
        </w:tc>
        <w:tc>
          <w:tcPr>
            <w:tcW w:w="833" w:type="pct"/>
          </w:tcPr>
          <w:p w14:paraId="0D92849C" w14:textId="77777777" w:rsidR="00B25161" w:rsidRPr="00E0465B" w:rsidRDefault="00B25161" w:rsidP="00B25161">
            <w:pPr>
              <w:rPr>
                <w:rFonts w:cs="Arial"/>
                <w:bCs/>
                <w:szCs w:val="16"/>
              </w:rPr>
            </w:pPr>
            <w:r w:rsidRPr="00E0465B">
              <w:rPr>
                <w:rFonts w:cs="Arial"/>
                <w:bCs/>
                <w:szCs w:val="16"/>
              </w:rPr>
              <w:t>1</w:t>
            </w:r>
          </w:p>
        </w:tc>
        <w:tc>
          <w:tcPr>
            <w:tcW w:w="833" w:type="pct"/>
          </w:tcPr>
          <w:p w14:paraId="48F5FC4F" w14:textId="77777777" w:rsidR="00B25161" w:rsidRPr="00E0465B" w:rsidRDefault="00B25161" w:rsidP="00B25161">
            <w:pPr>
              <w:rPr>
                <w:rFonts w:cs="Arial"/>
                <w:bCs/>
                <w:szCs w:val="16"/>
              </w:rPr>
            </w:pPr>
            <w:r w:rsidRPr="00E0465B">
              <w:rPr>
                <w:rFonts w:cs="Arial"/>
                <w:bCs/>
                <w:szCs w:val="16"/>
              </w:rPr>
              <w:t>1</w:t>
            </w:r>
          </w:p>
        </w:tc>
        <w:tc>
          <w:tcPr>
            <w:tcW w:w="833" w:type="pct"/>
          </w:tcPr>
          <w:p w14:paraId="1FDD3FEA" w14:textId="77777777" w:rsidR="00B25161" w:rsidRPr="00E0465B" w:rsidRDefault="00B25161" w:rsidP="00B25161">
            <w:pPr>
              <w:rPr>
                <w:rFonts w:cs="Arial"/>
                <w:bCs/>
                <w:szCs w:val="16"/>
              </w:rPr>
            </w:pPr>
            <w:r w:rsidRPr="00E0465B">
              <w:rPr>
                <w:rFonts w:cs="Arial"/>
                <w:bCs/>
                <w:szCs w:val="16"/>
              </w:rPr>
              <w:t>1</w:t>
            </w:r>
          </w:p>
        </w:tc>
        <w:tc>
          <w:tcPr>
            <w:tcW w:w="833" w:type="pct"/>
          </w:tcPr>
          <w:p w14:paraId="05E9A5FD" w14:textId="77777777" w:rsidR="00B25161" w:rsidRPr="00E0465B" w:rsidRDefault="00B25161" w:rsidP="00B25161">
            <w:pPr>
              <w:rPr>
                <w:rFonts w:cs="Arial"/>
                <w:bCs/>
                <w:szCs w:val="16"/>
              </w:rPr>
            </w:pPr>
            <w:r w:rsidRPr="00E0465B">
              <w:rPr>
                <w:rFonts w:cs="Arial"/>
                <w:bCs/>
                <w:szCs w:val="16"/>
              </w:rPr>
              <w:t>1</w:t>
            </w:r>
          </w:p>
        </w:tc>
      </w:tr>
    </w:tbl>
    <w:p w14:paraId="3EF3536C"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CSTAT"/>
      </w:tblPr>
      <w:tblGrid>
        <w:gridCol w:w="1804"/>
        <w:gridCol w:w="1801"/>
        <w:gridCol w:w="1801"/>
        <w:gridCol w:w="1801"/>
        <w:gridCol w:w="1800"/>
        <w:gridCol w:w="1800"/>
      </w:tblGrid>
      <w:tr w:rsidR="00B25161" w:rsidRPr="00B25161" w14:paraId="65E382DE" w14:textId="77777777" w:rsidTr="004A2E39">
        <w:trPr>
          <w:tblHeader/>
        </w:trPr>
        <w:tc>
          <w:tcPr>
            <w:tcW w:w="834" w:type="pct"/>
          </w:tcPr>
          <w:p w14:paraId="17D41D0B" w14:textId="77777777" w:rsidR="00B25161" w:rsidRPr="00B25161" w:rsidRDefault="00B25161" w:rsidP="00B25161">
            <w:pPr>
              <w:rPr>
                <w:rFonts w:cs="Arial"/>
                <w:b/>
                <w:szCs w:val="16"/>
              </w:rPr>
            </w:pPr>
            <w:r w:rsidRPr="00B25161">
              <w:rPr>
                <w:rFonts w:cs="Arial"/>
                <w:b/>
                <w:szCs w:val="16"/>
              </w:rPr>
              <w:t>Outcome C — Actions to Meet Needs</w:t>
            </w:r>
          </w:p>
        </w:tc>
        <w:tc>
          <w:tcPr>
            <w:tcW w:w="833" w:type="pct"/>
          </w:tcPr>
          <w:p w14:paraId="3F6AFB6C" w14:textId="77777777" w:rsidR="00B25161" w:rsidRPr="00B25161" w:rsidRDefault="00B25161" w:rsidP="00B25161">
            <w:pPr>
              <w:rPr>
                <w:rFonts w:cs="Arial"/>
                <w:b/>
                <w:szCs w:val="16"/>
              </w:rPr>
            </w:pPr>
            <w:r w:rsidRPr="00B25161">
              <w:rPr>
                <w:rFonts w:cs="Arial"/>
                <w:b/>
                <w:szCs w:val="16"/>
              </w:rPr>
              <w:t>Category a</w:t>
            </w:r>
          </w:p>
        </w:tc>
        <w:tc>
          <w:tcPr>
            <w:tcW w:w="833" w:type="pct"/>
          </w:tcPr>
          <w:p w14:paraId="063C4291" w14:textId="77777777" w:rsidR="00B25161" w:rsidRPr="00B25161" w:rsidRDefault="00B25161" w:rsidP="00B25161">
            <w:pPr>
              <w:rPr>
                <w:rFonts w:cs="Arial"/>
                <w:b/>
                <w:szCs w:val="16"/>
              </w:rPr>
            </w:pPr>
            <w:r w:rsidRPr="00B25161">
              <w:rPr>
                <w:rFonts w:cs="Arial"/>
                <w:b/>
                <w:szCs w:val="16"/>
              </w:rPr>
              <w:t>Category b</w:t>
            </w:r>
          </w:p>
        </w:tc>
        <w:tc>
          <w:tcPr>
            <w:tcW w:w="833" w:type="pct"/>
          </w:tcPr>
          <w:p w14:paraId="50D27078" w14:textId="77777777" w:rsidR="00B25161" w:rsidRPr="00B25161" w:rsidRDefault="00B25161" w:rsidP="00B25161">
            <w:pPr>
              <w:rPr>
                <w:rFonts w:cs="Arial"/>
                <w:b/>
                <w:szCs w:val="16"/>
              </w:rPr>
            </w:pPr>
            <w:r w:rsidRPr="00B25161">
              <w:rPr>
                <w:rFonts w:cs="Arial"/>
                <w:b/>
                <w:szCs w:val="16"/>
              </w:rPr>
              <w:t>Category c</w:t>
            </w:r>
          </w:p>
        </w:tc>
        <w:tc>
          <w:tcPr>
            <w:tcW w:w="833" w:type="pct"/>
          </w:tcPr>
          <w:p w14:paraId="3431837C" w14:textId="77777777" w:rsidR="00B25161" w:rsidRPr="00B25161" w:rsidRDefault="00B25161" w:rsidP="00B25161">
            <w:pPr>
              <w:rPr>
                <w:rFonts w:cs="Arial"/>
                <w:b/>
                <w:szCs w:val="16"/>
              </w:rPr>
            </w:pPr>
            <w:r w:rsidRPr="00B25161">
              <w:rPr>
                <w:rFonts w:cs="Arial"/>
                <w:b/>
                <w:szCs w:val="16"/>
              </w:rPr>
              <w:t>Category d</w:t>
            </w:r>
          </w:p>
        </w:tc>
        <w:tc>
          <w:tcPr>
            <w:tcW w:w="833" w:type="pct"/>
          </w:tcPr>
          <w:p w14:paraId="6A8E085B" w14:textId="77777777" w:rsidR="00B25161" w:rsidRPr="00B25161" w:rsidRDefault="00B25161" w:rsidP="00B25161">
            <w:pPr>
              <w:rPr>
                <w:rFonts w:cs="Arial"/>
                <w:b/>
                <w:szCs w:val="16"/>
              </w:rPr>
            </w:pPr>
            <w:r w:rsidRPr="00B25161">
              <w:rPr>
                <w:rFonts w:cs="Arial"/>
                <w:b/>
                <w:szCs w:val="16"/>
              </w:rPr>
              <w:t>Category e</w:t>
            </w:r>
          </w:p>
        </w:tc>
      </w:tr>
      <w:tr w:rsidR="00B25161" w:rsidRPr="00B25161" w14:paraId="73389F83" w14:textId="77777777" w:rsidTr="00B25161">
        <w:tc>
          <w:tcPr>
            <w:tcW w:w="834" w:type="pct"/>
          </w:tcPr>
          <w:p w14:paraId="6420697F"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A7C07BA" w14:textId="77777777" w:rsidR="00B25161" w:rsidRPr="00E0465B" w:rsidRDefault="00B25161" w:rsidP="00B25161">
            <w:pPr>
              <w:rPr>
                <w:rFonts w:cs="Arial"/>
                <w:bCs/>
                <w:szCs w:val="16"/>
              </w:rPr>
            </w:pPr>
            <w:r w:rsidRPr="00E0465B">
              <w:rPr>
                <w:rFonts w:cs="Arial"/>
                <w:bCs/>
                <w:szCs w:val="16"/>
              </w:rPr>
              <w:t>5</w:t>
            </w:r>
          </w:p>
        </w:tc>
        <w:tc>
          <w:tcPr>
            <w:tcW w:w="833" w:type="pct"/>
          </w:tcPr>
          <w:p w14:paraId="13413534" w14:textId="77777777" w:rsidR="00B25161" w:rsidRPr="00E0465B" w:rsidRDefault="00B25161" w:rsidP="00B25161">
            <w:pPr>
              <w:rPr>
                <w:rFonts w:cs="Arial"/>
                <w:bCs/>
                <w:szCs w:val="16"/>
              </w:rPr>
            </w:pPr>
            <w:r w:rsidRPr="00E0465B">
              <w:rPr>
                <w:rFonts w:cs="Arial"/>
                <w:bCs/>
                <w:szCs w:val="16"/>
              </w:rPr>
              <w:t>387</w:t>
            </w:r>
          </w:p>
        </w:tc>
        <w:tc>
          <w:tcPr>
            <w:tcW w:w="833" w:type="pct"/>
          </w:tcPr>
          <w:p w14:paraId="47A2BC12" w14:textId="77777777" w:rsidR="00B25161" w:rsidRPr="00E0465B" w:rsidRDefault="00B25161" w:rsidP="00B25161">
            <w:pPr>
              <w:rPr>
                <w:rFonts w:cs="Arial"/>
                <w:bCs/>
                <w:szCs w:val="16"/>
              </w:rPr>
            </w:pPr>
            <w:r w:rsidRPr="00E0465B">
              <w:rPr>
                <w:rFonts w:cs="Arial"/>
                <w:bCs/>
                <w:szCs w:val="16"/>
              </w:rPr>
              <w:t>830</w:t>
            </w:r>
          </w:p>
        </w:tc>
        <w:tc>
          <w:tcPr>
            <w:tcW w:w="833" w:type="pct"/>
          </w:tcPr>
          <w:p w14:paraId="4915D083" w14:textId="77777777" w:rsidR="00B25161" w:rsidRPr="00E0465B" w:rsidRDefault="00B25161" w:rsidP="00B25161">
            <w:pPr>
              <w:rPr>
                <w:rFonts w:cs="Arial"/>
                <w:bCs/>
                <w:szCs w:val="16"/>
              </w:rPr>
            </w:pPr>
            <w:r w:rsidRPr="00E0465B">
              <w:rPr>
                <w:rFonts w:cs="Arial"/>
                <w:bCs/>
                <w:szCs w:val="16"/>
              </w:rPr>
              <w:t>490</w:t>
            </w:r>
          </w:p>
        </w:tc>
        <w:tc>
          <w:tcPr>
            <w:tcW w:w="833" w:type="pct"/>
          </w:tcPr>
          <w:p w14:paraId="64ED007D" w14:textId="77777777" w:rsidR="00B25161" w:rsidRPr="00E0465B" w:rsidRDefault="00B25161" w:rsidP="00B25161">
            <w:pPr>
              <w:rPr>
                <w:rFonts w:cs="Arial"/>
                <w:bCs/>
                <w:szCs w:val="16"/>
              </w:rPr>
            </w:pPr>
            <w:r w:rsidRPr="00E0465B">
              <w:rPr>
                <w:rFonts w:cs="Arial"/>
                <w:bCs/>
                <w:szCs w:val="16"/>
              </w:rPr>
              <w:t>62</w:t>
            </w:r>
          </w:p>
        </w:tc>
      </w:tr>
      <w:tr w:rsidR="00B25161" w:rsidRPr="00B25161" w14:paraId="176CF908" w14:textId="77777777" w:rsidTr="00B25161">
        <w:tc>
          <w:tcPr>
            <w:tcW w:w="834" w:type="pct"/>
          </w:tcPr>
          <w:p w14:paraId="5E4C5834" w14:textId="77777777" w:rsidR="00B25161" w:rsidRPr="00B25161" w:rsidRDefault="00B25161" w:rsidP="00B25161">
            <w:pPr>
              <w:rPr>
                <w:rFonts w:cs="Arial"/>
                <w:b/>
                <w:szCs w:val="16"/>
              </w:rPr>
            </w:pPr>
            <w:r w:rsidRPr="00B25161">
              <w:rPr>
                <w:rFonts w:cs="Arial"/>
                <w:b/>
                <w:szCs w:val="16"/>
              </w:rPr>
              <w:t>Performance (%)</w:t>
            </w:r>
          </w:p>
        </w:tc>
        <w:tc>
          <w:tcPr>
            <w:tcW w:w="833" w:type="pct"/>
          </w:tcPr>
          <w:p w14:paraId="31E0A739" w14:textId="2F0AA12C" w:rsidR="00B25161" w:rsidRPr="00E0465B" w:rsidRDefault="00B25161" w:rsidP="00B25161">
            <w:pPr>
              <w:rPr>
                <w:rFonts w:cs="Arial"/>
                <w:bCs/>
                <w:szCs w:val="16"/>
              </w:rPr>
            </w:pPr>
            <w:r w:rsidRPr="00E0465B">
              <w:rPr>
                <w:rFonts w:cs="Arial"/>
                <w:bCs/>
                <w:szCs w:val="16"/>
              </w:rPr>
              <w:t>0.28%</w:t>
            </w:r>
          </w:p>
        </w:tc>
        <w:tc>
          <w:tcPr>
            <w:tcW w:w="833" w:type="pct"/>
          </w:tcPr>
          <w:p w14:paraId="127BF181" w14:textId="3BECFE2D" w:rsidR="00B25161" w:rsidRPr="00E0465B" w:rsidRDefault="00B25161" w:rsidP="00B25161">
            <w:pPr>
              <w:rPr>
                <w:rFonts w:cs="Arial"/>
                <w:bCs/>
                <w:szCs w:val="16"/>
              </w:rPr>
            </w:pPr>
            <w:r w:rsidRPr="00E0465B">
              <w:rPr>
                <w:rFonts w:cs="Arial"/>
                <w:bCs/>
                <w:szCs w:val="16"/>
              </w:rPr>
              <w:t>21.82%</w:t>
            </w:r>
          </w:p>
        </w:tc>
        <w:tc>
          <w:tcPr>
            <w:tcW w:w="833" w:type="pct"/>
          </w:tcPr>
          <w:p w14:paraId="37EC9364" w14:textId="61A07A7E" w:rsidR="00B25161" w:rsidRPr="00E0465B" w:rsidRDefault="00B25161" w:rsidP="00B25161">
            <w:pPr>
              <w:rPr>
                <w:rFonts w:cs="Arial"/>
                <w:bCs/>
                <w:szCs w:val="16"/>
              </w:rPr>
            </w:pPr>
            <w:r w:rsidRPr="00E0465B">
              <w:rPr>
                <w:rFonts w:cs="Arial"/>
                <w:bCs/>
                <w:szCs w:val="16"/>
              </w:rPr>
              <w:t>46.79%</w:t>
            </w:r>
          </w:p>
        </w:tc>
        <w:tc>
          <w:tcPr>
            <w:tcW w:w="833" w:type="pct"/>
          </w:tcPr>
          <w:p w14:paraId="09DF3FA5" w14:textId="57617973" w:rsidR="00B25161" w:rsidRPr="00E0465B" w:rsidRDefault="00B25161" w:rsidP="00B25161">
            <w:pPr>
              <w:rPr>
                <w:rFonts w:cs="Arial"/>
                <w:bCs/>
                <w:szCs w:val="16"/>
              </w:rPr>
            </w:pPr>
            <w:r w:rsidRPr="00E0465B">
              <w:rPr>
                <w:rFonts w:cs="Arial"/>
                <w:bCs/>
                <w:szCs w:val="16"/>
              </w:rPr>
              <w:t>27.62%</w:t>
            </w:r>
          </w:p>
        </w:tc>
        <w:tc>
          <w:tcPr>
            <w:tcW w:w="833" w:type="pct"/>
          </w:tcPr>
          <w:p w14:paraId="54994806" w14:textId="468B6FDF" w:rsidR="00B25161" w:rsidRPr="00E0465B" w:rsidRDefault="00B25161" w:rsidP="00B25161">
            <w:pPr>
              <w:rPr>
                <w:rFonts w:cs="Arial"/>
                <w:bCs/>
                <w:szCs w:val="16"/>
              </w:rPr>
            </w:pPr>
            <w:r w:rsidRPr="00E0465B">
              <w:rPr>
                <w:rFonts w:cs="Arial"/>
                <w:bCs/>
                <w:szCs w:val="16"/>
              </w:rPr>
              <w:t>3.49%</w:t>
            </w:r>
          </w:p>
        </w:tc>
      </w:tr>
      <w:tr w:rsidR="00B25161" w:rsidRPr="00B25161" w14:paraId="3FE1F63B" w14:textId="77777777" w:rsidTr="00B25161">
        <w:tc>
          <w:tcPr>
            <w:tcW w:w="834" w:type="pct"/>
          </w:tcPr>
          <w:p w14:paraId="4A9A5C22" w14:textId="77777777" w:rsidR="00B25161" w:rsidRPr="00B25161" w:rsidRDefault="00B25161" w:rsidP="00B25161">
            <w:pPr>
              <w:rPr>
                <w:rFonts w:cs="Arial"/>
                <w:b/>
                <w:szCs w:val="16"/>
              </w:rPr>
            </w:pPr>
            <w:r w:rsidRPr="00B25161">
              <w:rPr>
                <w:rFonts w:cs="Arial"/>
                <w:b/>
                <w:szCs w:val="16"/>
              </w:rPr>
              <w:t>Scores</w:t>
            </w:r>
          </w:p>
        </w:tc>
        <w:tc>
          <w:tcPr>
            <w:tcW w:w="833" w:type="pct"/>
          </w:tcPr>
          <w:p w14:paraId="1ECD4EFC" w14:textId="77777777" w:rsidR="00B25161" w:rsidRPr="00E0465B" w:rsidRDefault="00B25161" w:rsidP="00B25161">
            <w:pPr>
              <w:rPr>
                <w:rFonts w:cs="Arial"/>
                <w:bCs/>
                <w:szCs w:val="16"/>
              </w:rPr>
            </w:pPr>
            <w:r w:rsidRPr="00E0465B">
              <w:rPr>
                <w:rFonts w:cs="Arial"/>
                <w:bCs/>
                <w:szCs w:val="16"/>
              </w:rPr>
              <w:t>1</w:t>
            </w:r>
          </w:p>
        </w:tc>
        <w:tc>
          <w:tcPr>
            <w:tcW w:w="833" w:type="pct"/>
          </w:tcPr>
          <w:p w14:paraId="455BC9BA" w14:textId="77777777" w:rsidR="00B25161" w:rsidRPr="00E0465B" w:rsidRDefault="00B25161" w:rsidP="00B25161">
            <w:pPr>
              <w:rPr>
                <w:rFonts w:cs="Arial"/>
                <w:bCs/>
                <w:szCs w:val="16"/>
              </w:rPr>
            </w:pPr>
            <w:r w:rsidRPr="00E0465B">
              <w:rPr>
                <w:rFonts w:cs="Arial"/>
                <w:bCs/>
                <w:szCs w:val="16"/>
              </w:rPr>
              <w:t>1</w:t>
            </w:r>
          </w:p>
        </w:tc>
        <w:tc>
          <w:tcPr>
            <w:tcW w:w="833" w:type="pct"/>
          </w:tcPr>
          <w:p w14:paraId="6D56B68A" w14:textId="77777777" w:rsidR="00B25161" w:rsidRPr="00E0465B" w:rsidRDefault="00B25161" w:rsidP="00B25161">
            <w:pPr>
              <w:rPr>
                <w:rFonts w:cs="Arial"/>
                <w:bCs/>
                <w:szCs w:val="16"/>
              </w:rPr>
            </w:pPr>
            <w:r w:rsidRPr="00E0465B">
              <w:rPr>
                <w:rFonts w:cs="Arial"/>
                <w:bCs/>
                <w:szCs w:val="16"/>
              </w:rPr>
              <w:t>1</w:t>
            </w:r>
          </w:p>
        </w:tc>
        <w:tc>
          <w:tcPr>
            <w:tcW w:w="833" w:type="pct"/>
          </w:tcPr>
          <w:p w14:paraId="32A5C166" w14:textId="77777777" w:rsidR="00B25161" w:rsidRPr="00E0465B" w:rsidRDefault="00B25161" w:rsidP="00B25161">
            <w:pPr>
              <w:rPr>
                <w:rFonts w:cs="Arial"/>
                <w:bCs/>
                <w:szCs w:val="16"/>
              </w:rPr>
            </w:pPr>
            <w:r w:rsidRPr="00E0465B">
              <w:rPr>
                <w:rFonts w:cs="Arial"/>
                <w:bCs/>
                <w:szCs w:val="16"/>
              </w:rPr>
              <w:t>1</w:t>
            </w:r>
          </w:p>
        </w:tc>
        <w:tc>
          <w:tcPr>
            <w:tcW w:w="833" w:type="pct"/>
          </w:tcPr>
          <w:p w14:paraId="1BF923E0" w14:textId="77777777" w:rsidR="00B25161" w:rsidRPr="00E0465B" w:rsidRDefault="00B25161" w:rsidP="00B25161">
            <w:pPr>
              <w:rPr>
                <w:rFonts w:cs="Arial"/>
                <w:bCs/>
                <w:szCs w:val="16"/>
              </w:rPr>
            </w:pPr>
            <w:r w:rsidRPr="00E0465B">
              <w:rPr>
                <w:rFonts w:cs="Arial"/>
                <w:bCs/>
                <w:szCs w:val="16"/>
              </w:rPr>
              <w:t>1</w:t>
            </w:r>
          </w:p>
        </w:tc>
      </w:tr>
    </w:tbl>
    <w:p w14:paraId="5AB01591"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OTCFNL"/>
      </w:tblPr>
      <w:tblGrid>
        <w:gridCol w:w="2880"/>
        <w:gridCol w:w="1932"/>
      </w:tblGrid>
      <w:tr w:rsidR="00B25161" w:rsidRPr="00B25161" w14:paraId="1B488901" w14:textId="77777777" w:rsidTr="004A2E39">
        <w:trPr>
          <w:trHeight w:val="272"/>
          <w:tblHeader/>
        </w:trPr>
        <w:tc>
          <w:tcPr>
            <w:tcW w:w="2880" w:type="dxa"/>
          </w:tcPr>
          <w:p w14:paraId="3038373D" w14:textId="77777777" w:rsidR="00B25161" w:rsidRPr="00B25161" w:rsidRDefault="00B25161" w:rsidP="00B25161">
            <w:pPr>
              <w:rPr>
                <w:rFonts w:cs="Arial"/>
                <w:b/>
                <w:szCs w:val="16"/>
              </w:rPr>
            </w:pPr>
          </w:p>
        </w:tc>
        <w:tc>
          <w:tcPr>
            <w:tcW w:w="1932" w:type="dxa"/>
          </w:tcPr>
          <w:p w14:paraId="77ABF7A6" w14:textId="77777777" w:rsidR="00B25161" w:rsidRPr="00B25161" w:rsidRDefault="00B25161" w:rsidP="00B25161">
            <w:pPr>
              <w:rPr>
                <w:rFonts w:cs="Arial"/>
                <w:b/>
                <w:szCs w:val="16"/>
              </w:rPr>
            </w:pPr>
            <w:r w:rsidRPr="00B25161">
              <w:rPr>
                <w:rFonts w:cs="Arial"/>
                <w:b/>
                <w:szCs w:val="16"/>
              </w:rPr>
              <w:t>Total Score</w:t>
            </w:r>
          </w:p>
        </w:tc>
      </w:tr>
      <w:tr w:rsidR="00B25161" w:rsidRPr="00B25161" w14:paraId="2D9A730F" w14:textId="77777777" w:rsidTr="00B25161">
        <w:trPr>
          <w:trHeight w:val="272"/>
        </w:trPr>
        <w:tc>
          <w:tcPr>
            <w:tcW w:w="2880" w:type="dxa"/>
          </w:tcPr>
          <w:p w14:paraId="48BC9BD7" w14:textId="77777777" w:rsidR="00B25161" w:rsidRPr="00B25161" w:rsidRDefault="00B25161" w:rsidP="00B25161">
            <w:pPr>
              <w:rPr>
                <w:rFonts w:cs="Arial"/>
                <w:b/>
                <w:szCs w:val="16"/>
              </w:rPr>
            </w:pPr>
            <w:r w:rsidRPr="00B25161">
              <w:rPr>
                <w:rFonts w:cs="Arial"/>
                <w:b/>
                <w:szCs w:val="16"/>
              </w:rPr>
              <w:t>Outcome A</w:t>
            </w:r>
          </w:p>
        </w:tc>
        <w:tc>
          <w:tcPr>
            <w:tcW w:w="1932" w:type="dxa"/>
          </w:tcPr>
          <w:p w14:paraId="06B374F4" w14:textId="687DD5CE" w:rsidR="00B25161" w:rsidRPr="00E0465B" w:rsidRDefault="00B25161" w:rsidP="00B25161">
            <w:pPr>
              <w:rPr>
                <w:rFonts w:cs="Arial"/>
                <w:bCs/>
                <w:szCs w:val="16"/>
              </w:rPr>
            </w:pPr>
            <w:r w:rsidRPr="00E0465B">
              <w:rPr>
                <w:rFonts w:cs="Arial"/>
                <w:bCs/>
                <w:szCs w:val="16"/>
              </w:rPr>
              <w:t>4</w:t>
            </w:r>
          </w:p>
        </w:tc>
      </w:tr>
      <w:tr w:rsidR="00B25161" w:rsidRPr="00B25161" w14:paraId="75C871C9" w14:textId="77777777" w:rsidTr="00B25161">
        <w:trPr>
          <w:trHeight w:val="272"/>
        </w:trPr>
        <w:tc>
          <w:tcPr>
            <w:tcW w:w="2880" w:type="dxa"/>
          </w:tcPr>
          <w:p w14:paraId="193CC5B1" w14:textId="77777777" w:rsidR="00B25161" w:rsidRPr="00B25161" w:rsidRDefault="00B25161" w:rsidP="00B25161">
            <w:pPr>
              <w:rPr>
                <w:rFonts w:cs="Arial"/>
                <w:b/>
                <w:szCs w:val="16"/>
              </w:rPr>
            </w:pPr>
            <w:r w:rsidRPr="00B25161">
              <w:rPr>
                <w:rFonts w:cs="Arial"/>
                <w:b/>
                <w:szCs w:val="16"/>
              </w:rPr>
              <w:t>Outcome B</w:t>
            </w:r>
          </w:p>
        </w:tc>
        <w:tc>
          <w:tcPr>
            <w:tcW w:w="1932" w:type="dxa"/>
          </w:tcPr>
          <w:p w14:paraId="4B78D677" w14:textId="57794493" w:rsidR="00B25161" w:rsidRPr="00E0465B" w:rsidRDefault="00B25161" w:rsidP="00B25161">
            <w:pPr>
              <w:rPr>
                <w:rFonts w:cs="Arial"/>
                <w:bCs/>
                <w:szCs w:val="16"/>
              </w:rPr>
            </w:pPr>
            <w:r w:rsidRPr="00E0465B">
              <w:rPr>
                <w:rFonts w:cs="Arial"/>
                <w:bCs/>
                <w:szCs w:val="16"/>
              </w:rPr>
              <w:t>5</w:t>
            </w:r>
          </w:p>
        </w:tc>
      </w:tr>
      <w:tr w:rsidR="00B25161" w:rsidRPr="00B25161" w14:paraId="45EE0999" w14:textId="77777777" w:rsidTr="00B25161">
        <w:trPr>
          <w:trHeight w:val="272"/>
        </w:trPr>
        <w:tc>
          <w:tcPr>
            <w:tcW w:w="2880" w:type="dxa"/>
          </w:tcPr>
          <w:p w14:paraId="25C23511" w14:textId="77777777" w:rsidR="00B25161" w:rsidRPr="00B25161" w:rsidRDefault="00B25161" w:rsidP="00B25161">
            <w:pPr>
              <w:rPr>
                <w:rFonts w:cs="Arial"/>
                <w:b/>
                <w:szCs w:val="16"/>
              </w:rPr>
            </w:pPr>
            <w:r w:rsidRPr="00B25161">
              <w:rPr>
                <w:rFonts w:cs="Arial"/>
                <w:b/>
                <w:szCs w:val="16"/>
              </w:rPr>
              <w:t>Outcome C</w:t>
            </w:r>
          </w:p>
        </w:tc>
        <w:tc>
          <w:tcPr>
            <w:tcW w:w="1932" w:type="dxa"/>
          </w:tcPr>
          <w:p w14:paraId="267A8932" w14:textId="15899D96" w:rsidR="00B25161" w:rsidRPr="00E0465B" w:rsidRDefault="00B25161" w:rsidP="00B25161">
            <w:pPr>
              <w:rPr>
                <w:rFonts w:cs="Arial"/>
                <w:bCs/>
                <w:szCs w:val="16"/>
              </w:rPr>
            </w:pPr>
            <w:r w:rsidRPr="00E0465B">
              <w:rPr>
                <w:rFonts w:cs="Arial"/>
                <w:bCs/>
                <w:szCs w:val="16"/>
              </w:rPr>
              <w:t>5</w:t>
            </w:r>
          </w:p>
        </w:tc>
      </w:tr>
      <w:tr w:rsidR="00B25161" w:rsidRPr="00B25161" w14:paraId="581A701A" w14:textId="77777777" w:rsidTr="00B25161">
        <w:trPr>
          <w:trHeight w:val="272"/>
        </w:trPr>
        <w:tc>
          <w:tcPr>
            <w:tcW w:w="2880" w:type="dxa"/>
          </w:tcPr>
          <w:p w14:paraId="57F30288" w14:textId="77777777" w:rsidR="00B25161" w:rsidRPr="00B25161" w:rsidRDefault="00B25161" w:rsidP="00B25161">
            <w:pPr>
              <w:rPr>
                <w:rFonts w:cs="Arial"/>
                <w:b/>
                <w:szCs w:val="16"/>
              </w:rPr>
            </w:pPr>
            <w:r w:rsidRPr="00B25161">
              <w:rPr>
                <w:rFonts w:cs="Arial"/>
                <w:b/>
                <w:szCs w:val="16"/>
              </w:rPr>
              <w:t>Outcomes A-C</w:t>
            </w:r>
          </w:p>
        </w:tc>
        <w:tc>
          <w:tcPr>
            <w:tcW w:w="1932" w:type="dxa"/>
          </w:tcPr>
          <w:p w14:paraId="20B4EDFB" w14:textId="5665A534" w:rsidR="00B25161" w:rsidRPr="00E0465B" w:rsidRDefault="00B25161" w:rsidP="00B25161">
            <w:pPr>
              <w:rPr>
                <w:rFonts w:cs="Arial"/>
                <w:bCs/>
                <w:szCs w:val="16"/>
              </w:rPr>
            </w:pPr>
            <w:r w:rsidRPr="00E0465B">
              <w:rPr>
                <w:rFonts w:cs="Arial"/>
                <w:bCs/>
                <w:szCs w:val="16"/>
              </w:rPr>
              <w:t>14</w:t>
            </w:r>
          </w:p>
        </w:tc>
      </w:tr>
    </w:tbl>
    <w:p w14:paraId="094B7EF3"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ANOMFNL"/>
      </w:tblPr>
      <w:tblGrid>
        <w:gridCol w:w="2880"/>
        <w:gridCol w:w="2880"/>
      </w:tblGrid>
      <w:tr w:rsidR="00B25161" w:rsidRPr="00B25161" w14:paraId="4A0FEA67" w14:textId="77777777" w:rsidTr="00B25161">
        <w:tc>
          <w:tcPr>
            <w:tcW w:w="2880" w:type="dxa"/>
          </w:tcPr>
          <w:p w14:paraId="3051DA2A" w14:textId="77777777" w:rsidR="00B25161" w:rsidRPr="00B25161" w:rsidRDefault="00B25161" w:rsidP="00B25161">
            <w:pPr>
              <w:rPr>
                <w:rFonts w:cs="Arial"/>
                <w:b/>
                <w:szCs w:val="16"/>
              </w:rPr>
            </w:pPr>
            <w:r w:rsidRPr="00B25161">
              <w:rPr>
                <w:rFonts w:cs="Arial"/>
                <w:b/>
                <w:szCs w:val="16"/>
              </w:rPr>
              <w:t>Data Anomalies Score</w:t>
            </w:r>
          </w:p>
        </w:tc>
        <w:tc>
          <w:tcPr>
            <w:tcW w:w="2880" w:type="dxa"/>
          </w:tcPr>
          <w:p w14:paraId="4F2B4557" w14:textId="77777777" w:rsidR="00B25161" w:rsidRPr="00E0465B" w:rsidRDefault="00B25161" w:rsidP="00B25161">
            <w:pPr>
              <w:rPr>
                <w:rFonts w:cs="Arial"/>
                <w:bCs/>
                <w:szCs w:val="16"/>
              </w:rPr>
            </w:pPr>
            <w:r w:rsidRPr="00E0465B">
              <w:rPr>
                <w:rFonts w:cs="Arial"/>
                <w:bCs/>
                <w:szCs w:val="16"/>
              </w:rPr>
              <w:t>2</w:t>
            </w:r>
          </w:p>
        </w:tc>
      </w:tr>
    </w:tbl>
    <w:p w14:paraId="5EF02BB7" w14:textId="77777777" w:rsidR="00716DBD" w:rsidRDefault="00716DBD" w:rsidP="0081611B">
      <w:pPr>
        <w:rPr>
          <w:rFonts w:cs="Arial"/>
          <w:b/>
          <w:szCs w:val="16"/>
        </w:rPr>
      </w:pPr>
    </w:p>
    <w:p w14:paraId="5246613C" w14:textId="77777777" w:rsidR="00B25161" w:rsidRDefault="00B25161" w:rsidP="0081611B">
      <w:pPr>
        <w:rPr>
          <w:rFonts w:cs="Arial"/>
          <w:b/>
          <w:szCs w:val="16"/>
        </w:rPr>
      </w:pPr>
    </w:p>
    <w:p w14:paraId="1E89FB21" w14:textId="77777777" w:rsidR="00B25161" w:rsidRDefault="00B25161" w:rsidP="0081611B">
      <w:pPr>
        <w:rPr>
          <w:rFonts w:cs="Arial"/>
          <w:b/>
          <w:szCs w:val="16"/>
        </w:rPr>
      </w:pPr>
    </w:p>
    <w:p w14:paraId="2FCF86B1" w14:textId="77777777" w:rsidR="00B25161" w:rsidRDefault="00B25161" w:rsidP="0081611B">
      <w:pPr>
        <w:rPr>
          <w:rFonts w:cs="Arial"/>
          <w:b/>
          <w:szCs w:val="16"/>
        </w:rPr>
      </w:pPr>
    </w:p>
    <w:p w14:paraId="09FA12B4" w14:textId="77777777" w:rsidR="00B25161" w:rsidRDefault="00B25161" w:rsidP="0081611B">
      <w:pPr>
        <w:rPr>
          <w:rFonts w:cs="Arial"/>
          <w:b/>
          <w:szCs w:val="16"/>
        </w:rPr>
      </w:pPr>
    </w:p>
    <w:p w14:paraId="3E5A38FA" w14:textId="77777777" w:rsidR="00B25161" w:rsidRDefault="00B25161" w:rsidP="0081611B">
      <w:pPr>
        <w:rPr>
          <w:rFonts w:cs="Arial"/>
          <w:b/>
          <w:szCs w:val="16"/>
        </w:rPr>
      </w:pPr>
    </w:p>
    <w:p w14:paraId="17852D5C" w14:textId="77777777" w:rsidR="00E0465B" w:rsidRDefault="00E0465B">
      <w:pPr>
        <w:spacing w:before="0" w:after="200" w:line="276" w:lineRule="auto"/>
        <w:rPr>
          <w:rFonts w:cs="Arial"/>
          <w:b/>
          <w:bCs/>
          <w:szCs w:val="16"/>
        </w:rPr>
      </w:pPr>
      <w:r>
        <w:rPr>
          <w:rFonts w:cs="Arial"/>
          <w:b/>
          <w:bCs/>
          <w:szCs w:val="16"/>
        </w:rPr>
        <w:br w:type="page"/>
      </w:r>
    </w:p>
    <w:p w14:paraId="51A974EF" w14:textId="5528C11C" w:rsidR="009F37D6" w:rsidRPr="009F37D6" w:rsidRDefault="009F37D6" w:rsidP="009F37D6">
      <w:pPr>
        <w:rPr>
          <w:rFonts w:cs="Arial"/>
          <w:b/>
          <w:bCs/>
          <w:szCs w:val="16"/>
        </w:rPr>
      </w:pPr>
      <w:r w:rsidRPr="009F37D6">
        <w:rPr>
          <w:rFonts w:cs="Arial"/>
          <w:b/>
          <w:bCs/>
          <w:szCs w:val="16"/>
        </w:rPr>
        <w:lastRenderedPageBreak/>
        <w:t>Appendix C</w:t>
      </w:r>
    </w:p>
    <w:p w14:paraId="170A9CB5" w14:textId="77777777" w:rsidR="00A67CEE" w:rsidRDefault="00A67CEE" w:rsidP="009F37D6">
      <w:pPr>
        <w:rPr>
          <w:rFonts w:cs="Arial"/>
          <w:b/>
          <w:bCs/>
          <w:szCs w:val="16"/>
        </w:rPr>
      </w:pPr>
    </w:p>
    <w:p w14:paraId="6354287C" w14:textId="2EA1FA43" w:rsidR="00A67CEE" w:rsidRDefault="009F37D6" w:rsidP="009F37D6">
      <w:pPr>
        <w:rPr>
          <w:rFonts w:cs="Arial"/>
          <w:b/>
          <w:bCs/>
          <w:szCs w:val="16"/>
        </w:rPr>
      </w:pPr>
      <w:r w:rsidRPr="009F37D6">
        <w:rPr>
          <w:rFonts w:cs="Arial"/>
          <w:b/>
          <w:bCs/>
          <w:szCs w:val="16"/>
        </w:rPr>
        <w:t xml:space="preserve">II. (a) Data Comparison: </w:t>
      </w:r>
    </w:p>
    <w:p w14:paraId="6CF7C333" w14:textId="1DB86070" w:rsidR="009F37D6" w:rsidRPr="009F37D6" w:rsidRDefault="009F37D6" w:rsidP="009F37D6">
      <w:pPr>
        <w:rPr>
          <w:rFonts w:cs="Arial"/>
          <w:b/>
          <w:bCs/>
          <w:szCs w:val="16"/>
        </w:rPr>
      </w:pPr>
      <w:r w:rsidRPr="009F37D6">
        <w:rPr>
          <w:rFonts w:cs="Arial"/>
          <w:b/>
          <w:bCs/>
          <w:szCs w:val="16"/>
        </w:rPr>
        <w:t>Comparing Your State’s 2022 Outcomes Data to Other States’ 2022 Outcome Data</w:t>
      </w:r>
    </w:p>
    <w:p w14:paraId="78086C37" w14:textId="05A34617" w:rsidR="009F37D6" w:rsidRPr="00A67CEE" w:rsidRDefault="009F37D6" w:rsidP="009F37D6">
      <w:pPr>
        <w:rPr>
          <w:rFonts w:cs="Arial"/>
          <w:bCs/>
          <w:szCs w:val="16"/>
        </w:rPr>
      </w:pPr>
      <w:r w:rsidRPr="00A67CEE">
        <w:rPr>
          <w:rFonts w:cs="Arial"/>
          <w:bCs/>
          <w:szCs w:val="16"/>
        </w:rPr>
        <w:t xml:space="preserve">This score represents how your State's FFY 2022 Outcomes data compares to other States' FFY 2022 Outcomes Data. Your State received a score for the distribution of the 6 Summary Statements for your State compared to the distribution of the 6 Summary Statements in all other States. The 10th and 90th percentile for each of the 6 Summary Statements was identified and used to assign points to performance outcome data for each Summary Statement (values are based on data for States with a summary statement denominator greater than 199 </w:t>
      </w:r>
      <w:proofErr w:type="spellStart"/>
      <w:r w:rsidRPr="00A67CEE">
        <w:rPr>
          <w:rFonts w:cs="Arial"/>
          <w:bCs/>
          <w:szCs w:val="16"/>
        </w:rPr>
        <w:t>exiters</w:t>
      </w:r>
      <w:proofErr w:type="spellEnd"/>
      <w:r w:rsidRPr="00A67CEE">
        <w:rPr>
          <w:rFonts w:cs="Arial"/>
          <w:bCs/>
          <w:szCs w:val="16"/>
        </w:rPr>
        <w:t>). Each Summary Statement outcome was assigned 0, 1, or 2 points. If your State's Summary Statement value fell at or below the 10th percentile, that Summary Statement was assigned 0 points. If your State's Summary Statement value fell between the 10th and 90th percentile, the Summary Statement was assigned 1 point, and if your State's Summary Statement value fell at or above the 90th percentile the Summary Statement was assigned 2 points. The points were added up across the 6 Summary Statements. A State can receive a total number of points between 0 and 12, with 0 points indicating all 6 Summary Statement values were at or below the 10th percentile and 12 points indicating all 6 Summary Statements were at or above the 90th percentile. An overall comparison Summary Statement score of 0, 1, or 2 was based on the total points awarded.</w:t>
      </w:r>
    </w:p>
    <w:p w14:paraId="762C815F" w14:textId="77777777" w:rsidR="009F37D6" w:rsidRPr="00A67CEE" w:rsidRDefault="009F37D6" w:rsidP="009F37D6">
      <w:pPr>
        <w:rPr>
          <w:rFonts w:cs="Arial"/>
          <w:bCs/>
          <w:i/>
          <w:iCs/>
          <w:szCs w:val="16"/>
        </w:rPr>
      </w:pPr>
      <w:r w:rsidRPr="00A67CEE">
        <w:rPr>
          <w:rFonts w:cs="Arial"/>
          <w:bCs/>
          <w:i/>
          <w:iCs/>
          <w:szCs w:val="16"/>
        </w:rPr>
        <w:t>Summary Statement 1: Of those infants and toddlers who entered or exited early intervention below age expectations in each Outcome, the percent who substantially increased their rate of growth by the time they turned 3 years of age or exited the program.</w:t>
      </w:r>
    </w:p>
    <w:p w14:paraId="246C2268" w14:textId="77777777" w:rsidR="009F37D6" w:rsidRPr="009F37D6" w:rsidRDefault="009F37D6" w:rsidP="009F37D6">
      <w:pPr>
        <w:rPr>
          <w:rFonts w:cs="Arial"/>
          <w:b/>
          <w:i/>
          <w:iCs/>
          <w:szCs w:val="16"/>
        </w:rPr>
      </w:pPr>
      <w:r w:rsidRPr="00A67CEE">
        <w:rPr>
          <w:rFonts w:cs="Arial"/>
          <w:bCs/>
          <w:i/>
          <w:iCs/>
          <w:szCs w:val="16"/>
        </w:rPr>
        <w:t>Summary Statement 2: The percent of infants and toddlers who were functioning within age expectations in each Outcome by the time they turned 3 years of age or exited the program.</w:t>
      </w:r>
    </w:p>
    <w:p w14:paraId="328AEA2B" w14:textId="77777777" w:rsidR="00A67CEE" w:rsidRDefault="00A67CEE" w:rsidP="009F37D6">
      <w:pPr>
        <w:rPr>
          <w:rFonts w:cs="Arial"/>
          <w:b/>
          <w:bCs/>
          <w:szCs w:val="16"/>
        </w:rPr>
      </w:pPr>
    </w:p>
    <w:p w14:paraId="6370C439" w14:textId="7FA533F3" w:rsidR="009F37D6" w:rsidRPr="009F37D6" w:rsidRDefault="009F37D6" w:rsidP="009F37D6">
      <w:pPr>
        <w:rPr>
          <w:rFonts w:cs="Arial"/>
          <w:b/>
          <w:bCs/>
          <w:szCs w:val="16"/>
        </w:rPr>
      </w:pPr>
      <w:r w:rsidRPr="009F37D6">
        <w:rPr>
          <w:rFonts w:cs="Arial"/>
          <w:b/>
          <w:bCs/>
          <w:szCs w:val="16"/>
        </w:rPr>
        <w:t>Scoring Percentages for the 10th and 90th Percentile for Each Outcome and Summary Statement, FFY 2022</w:t>
      </w:r>
    </w:p>
    <w:tbl>
      <w:tblPr>
        <w:tblStyle w:val="TableGrid1"/>
        <w:tblW w:w="0" w:type="auto"/>
        <w:tblLayout w:type="fixed"/>
        <w:tblLook w:val="04A0" w:firstRow="1" w:lastRow="0" w:firstColumn="1" w:lastColumn="0" w:noHBand="0" w:noVBand="1"/>
        <w:tblCaption w:val="C03OTCPERC"/>
      </w:tblPr>
      <w:tblGrid>
        <w:gridCol w:w="1540"/>
        <w:gridCol w:w="1540"/>
        <w:gridCol w:w="1540"/>
        <w:gridCol w:w="1540"/>
        <w:gridCol w:w="1540"/>
        <w:gridCol w:w="1540"/>
        <w:gridCol w:w="1540"/>
      </w:tblGrid>
      <w:tr w:rsidR="009F37D6" w:rsidRPr="009F37D6" w14:paraId="69A45AE2" w14:textId="77777777" w:rsidTr="004A2E39">
        <w:trPr>
          <w:tblHeader/>
        </w:trPr>
        <w:tc>
          <w:tcPr>
            <w:tcW w:w="1540" w:type="dxa"/>
          </w:tcPr>
          <w:p w14:paraId="7824B3BE" w14:textId="77777777" w:rsidR="009F37D6" w:rsidRPr="009F37D6" w:rsidRDefault="009F37D6" w:rsidP="009F37D6">
            <w:pPr>
              <w:rPr>
                <w:rFonts w:cs="Arial"/>
                <w:b/>
                <w:szCs w:val="16"/>
              </w:rPr>
            </w:pPr>
            <w:r w:rsidRPr="009F37D6">
              <w:rPr>
                <w:rFonts w:cs="Arial"/>
                <w:b/>
                <w:szCs w:val="16"/>
              </w:rPr>
              <w:t>Percentiles</w:t>
            </w:r>
          </w:p>
        </w:tc>
        <w:tc>
          <w:tcPr>
            <w:tcW w:w="1540" w:type="dxa"/>
          </w:tcPr>
          <w:p w14:paraId="33107596" w14:textId="77777777" w:rsidR="009F37D6" w:rsidRPr="009F37D6" w:rsidRDefault="009F37D6" w:rsidP="009F37D6">
            <w:pPr>
              <w:rPr>
                <w:rFonts w:cs="Arial"/>
                <w:b/>
                <w:szCs w:val="16"/>
              </w:rPr>
            </w:pPr>
            <w:r w:rsidRPr="009F37D6">
              <w:rPr>
                <w:rFonts w:cs="Arial"/>
                <w:b/>
                <w:szCs w:val="16"/>
              </w:rPr>
              <w:t>Outcome A SS1</w:t>
            </w:r>
          </w:p>
        </w:tc>
        <w:tc>
          <w:tcPr>
            <w:tcW w:w="1540" w:type="dxa"/>
          </w:tcPr>
          <w:p w14:paraId="197BD52F" w14:textId="77777777" w:rsidR="009F37D6" w:rsidRPr="009F37D6" w:rsidRDefault="009F37D6" w:rsidP="009F37D6">
            <w:pPr>
              <w:rPr>
                <w:rFonts w:cs="Arial"/>
                <w:b/>
                <w:szCs w:val="16"/>
              </w:rPr>
            </w:pPr>
            <w:r w:rsidRPr="009F37D6">
              <w:rPr>
                <w:rFonts w:cs="Arial"/>
                <w:b/>
                <w:szCs w:val="16"/>
              </w:rPr>
              <w:t>Outcome A SS2</w:t>
            </w:r>
          </w:p>
        </w:tc>
        <w:tc>
          <w:tcPr>
            <w:tcW w:w="1540" w:type="dxa"/>
          </w:tcPr>
          <w:p w14:paraId="3EAE2FCF" w14:textId="77777777" w:rsidR="009F37D6" w:rsidRPr="009F37D6" w:rsidRDefault="009F37D6" w:rsidP="009F37D6">
            <w:pPr>
              <w:rPr>
                <w:rFonts w:cs="Arial"/>
                <w:b/>
                <w:szCs w:val="16"/>
              </w:rPr>
            </w:pPr>
            <w:r w:rsidRPr="009F37D6">
              <w:rPr>
                <w:rFonts w:cs="Arial"/>
                <w:b/>
                <w:szCs w:val="16"/>
              </w:rPr>
              <w:t>Outcome B SS1</w:t>
            </w:r>
          </w:p>
        </w:tc>
        <w:tc>
          <w:tcPr>
            <w:tcW w:w="1540" w:type="dxa"/>
          </w:tcPr>
          <w:p w14:paraId="3B6CF9D5" w14:textId="77777777" w:rsidR="009F37D6" w:rsidRPr="009F37D6" w:rsidRDefault="009F37D6" w:rsidP="009F37D6">
            <w:pPr>
              <w:rPr>
                <w:rFonts w:cs="Arial"/>
                <w:b/>
                <w:szCs w:val="16"/>
              </w:rPr>
            </w:pPr>
            <w:r w:rsidRPr="009F37D6">
              <w:rPr>
                <w:rFonts w:cs="Arial"/>
                <w:b/>
                <w:szCs w:val="16"/>
              </w:rPr>
              <w:t>Outcome B SS2</w:t>
            </w:r>
          </w:p>
        </w:tc>
        <w:tc>
          <w:tcPr>
            <w:tcW w:w="1540" w:type="dxa"/>
          </w:tcPr>
          <w:p w14:paraId="5EB92DDA" w14:textId="77777777" w:rsidR="009F37D6" w:rsidRPr="009F37D6" w:rsidRDefault="009F37D6" w:rsidP="009F37D6">
            <w:pPr>
              <w:rPr>
                <w:rFonts w:cs="Arial"/>
                <w:b/>
                <w:szCs w:val="16"/>
              </w:rPr>
            </w:pPr>
            <w:r w:rsidRPr="009F37D6">
              <w:rPr>
                <w:rFonts w:cs="Arial"/>
                <w:b/>
                <w:szCs w:val="16"/>
              </w:rPr>
              <w:t>Outcome C SS1</w:t>
            </w:r>
          </w:p>
        </w:tc>
        <w:tc>
          <w:tcPr>
            <w:tcW w:w="1540" w:type="dxa"/>
          </w:tcPr>
          <w:p w14:paraId="0120FD5C" w14:textId="77777777" w:rsidR="009F37D6" w:rsidRPr="009F37D6" w:rsidRDefault="009F37D6" w:rsidP="009F37D6">
            <w:pPr>
              <w:rPr>
                <w:rFonts w:cs="Arial"/>
                <w:b/>
                <w:szCs w:val="16"/>
              </w:rPr>
            </w:pPr>
            <w:r w:rsidRPr="009F37D6">
              <w:rPr>
                <w:rFonts w:cs="Arial"/>
                <w:b/>
                <w:szCs w:val="16"/>
              </w:rPr>
              <w:t>Outcome C SS2</w:t>
            </w:r>
          </w:p>
        </w:tc>
      </w:tr>
      <w:tr w:rsidR="009F37D6" w:rsidRPr="009F37D6" w14:paraId="6D70AD4B" w14:textId="77777777" w:rsidTr="009F37D6">
        <w:tc>
          <w:tcPr>
            <w:tcW w:w="1540" w:type="dxa"/>
          </w:tcPr>
          <w:p w14:paraId="613F6D3D" w14:textId="77777777" w:rsidR="009F37D6" w:rsidRPr="009F37D6" w:rsidRDefault="009F37D6" w:rsidP="009F37D6">
            <w:pPr>
              <w:rPr>
                <w:rFonts w:cs="Arial"/>
                <w:b/>
                <w:szCs w:val="16"/>
              </w:rPr>
            </w:pPr>
            <w:r w:rsidRPr="009F37D6">
              <w:rPr>
                <w:rFonts w:cs="Arial"/>
                <w:b/>
                <w:szCs w:val="16"/>
              </w:rPr>
              <w:t>10</w:t>
            </w:r>
          </w:p>
        </w:tc>
        <w:tc>
          <w:tcPr>
            <w:tcW w:w="1540" w:type="dxa"/>
          </w:tcPr>
          <w:p w14:paraId="594E99FF" w14:textId="77777777" w:rsidR="009F37D6" w:rsidRPr="009F37D6" w:rsidRDefault="009F37D6" w:rsidP="009F37D6">
            <w:pPr>
              <w:rPr>
                <w:rFonts w:cs="Arial"/>
                <w:bCs/>
                <w:szCs w:val="16"/>
              </w:rPr>
            </w:pPr>
            <w:r w:rsidRPr="009F37D6">
              <w:rPr>
                <w:rFonts w:cs="Arial"/>
                <w:bCs/>
                <w:szCs w:val="16"/>
              </w:rPr>
              <w:t>45.63%</w:t>
            </w:r>
          </w:p>
        </w:tc>
        <w:tc>
          <w:tcPr>
            <w:tcW w:w="1540" w:type="dxa"/>
          </w:tcPr>
          <w:p w14:paraId="3776A780" w14:textId="77777777" w:rsidR="009F37D6" w:rsidRPr="009F37D6" w:rsidRDefault="009F37D6" w:rsidP="009F37D6">
            <w:pPr>
              <w:rPr>
                <w:rFonts w:cs="Arial"/>
                <w:bCs/>
                <w:szCs w:val="16"/>
              </w:rPr>
            </w:pPr>
            <w:r w:rsidRPr="009F37D6">
              <w:rPr>
                <w:rFonts w:cs="Arial"/>
                <w:bCs/>
                <w:szCs w:val="16"/>
              </w:rPr>
              <w:t>35.29%</w:t>
            </w:r>
          </w:p>
        </w:tc>
        <w:tc>
          <w:tcPr>
            <w:tcW w:w="1540" w:type="dxa"/>
          </w:tcPr>
          <w:p w14:paraId="5E04A780" w14:textId="77777777" w:rsidR="009F37D6" w:rsidRPr="009F37D6" w:rsidRDefault="009F37D6" w:rsidP="009F37D6">
            <w:pPr>
              <w:rPr>
                <w:rFonts w:cs="Arial"/>
                <w:bCs/>
                <w:szCs w:val="16"/>
              </w:rPr>
            </w:pPr>
            <w:r w:rsidRPr="009F37D6">
              <w:rPr>
                <w:rFonts w:cs="Arial"/>
                <w:bCs/>
                <w:szCs w:val="16"/>
              </w:rPr>
              <w:t>54.05%</w:t>
            </w:r>
          </w:p>
        </w:tc>
        <w:tc>
          <w:tcPr>
            <w:tcW w:w="1540" w:type="dxa"/>
          </w:tcPr>
          <w:p w14:paraId="739AB6B5" w14:textId="77777777" w:rsidR="009F37D6" w:rsidRPr="009F37D6" w:rsidRDefault="009F37D6" w:rsidP="009F37D6">
            <w:pPr>
              <w:rPr>
                <w:rFonts w:cs="Arial"/>
                <w:bCs/>
                <w:szCs w:val="16"/>
              </w:rPr>
            </w:pPr>
            <w:r w:rsidRPr="009F37D6">
              <w:rPr>
                <w:rFonts w:cs="Arial"/>
                <w:bCs/>
                <w:szCs w:val="16"/>
              </w:rPr>
              <w:t>27.07%</w:t>
            </w:r>
          </w:p>
        </w:tc>
        <w:tc>
          <w:tcPr>
            <w:tcW w:w="1540" w:type="dxa"/>
          </w:tcPr>
          <w:p w14:paraId="11603C76" w14:textId="77777777" w:rsidR="009F37D6" w:rsidRPr="009F37D6" w:rsidRDefault="009F37D6" w:rsidP="009F37D6">
            <w:pPr>
              <w:rPr>
                <w:rFonts w:cs="Arial"/>
                <w:bCs/>
                <w:szCs w:val="16"/>
              </w:rPr>
            </w:pPr>
            <w:r w:rsidRPr="009F37D6">
              <w:rPr>
                <w:rFonts w:cs="Arial"/>
                <w:bCs/>
                <w:szCs w:val="16"/>
              </w:rPr>
              <w:t>51.93%</w:t>
            </w:r>
          </w:p>
        </w:tc>
        <w:tc>
          <w:tcPr>
            <w:tcW w:w="1540" w:type="dxa"/>
          </w:tcPr>
          <w:p w14:paraId="33FC3457" w14:textId="77777777" w:rsidR="009F37D6" w:rsidRPr="009F37D6" w:rsidRDefault="009F37D6" w:rsidP="009F37D6">
            <w:pPr>
              <w:rPr>
                <w:rFonts w:cs="Arial"/>
                <w:bCs/>
                <w:szCs w:val="16"/>
              </w:rPr>
            </w:pPr>
            <w:r w:rsidRPr="009F37D6">
              <w:rPr>
                <w:rFonts w:cs="Arial"/>
                <w:bCs/>
                <w:szCs w:val="16"/>
              </w:rPr>
              <w:t>33.56%</w:t>
            </w:r>
          </w:p>
        </w:tc>
      </w:tr>
      <w:tr w:rsidR="009F37D6" w:rsidRPr="009F37D6" w14:paraId="5351DBD5" w14:textId="77777777" w:rsidTr="009F37D6">
        <w:tc>
          <w:tcPr>
            <w:tcW w:w="1540" w:type="dxa"/>
          </w:tcPr>
          <w:p w14:paraId="16B4FF39" w14:textId="77777777" w:rsidR="009F37D6" w:rsidRPr="009F37D6" w:rsidRDefault="009F37D6" w:rsidP="009F37D6">
            <w:pPr>
              <w:rPr>
                <w:rFonts w:cs="Arial"/>
                <w:b/>
                <w:szCs w:val="16"/>
              </w:rPr>
            </w:pPr>
            <w:r w:rsidRPr="009F37D6">
              <w:rPr>
                <w:rFonts w:cs="Arial"/>
                <w:b/>
                <w:szCs w:val="16"/>
              </w:rPr>
              <w:t>90</w:t>
            </w:r>
          </w:p>
        </w:tc>
        <w:tc>
          <w:tcPr>
            <w:tcW w:w="1540" w:type="dxa"/>
          </w:tcPr>
          <w:p w14:paraId="38AFF39E" w14:textId="77777777" w:rsidR="009F37D6" w:rsidRPr="009F37D6" w:rsidRDefault="009F37D6" w:rsidP="009F37D6">
            <w:pPr>
              <w:rPr>
                <w:rFonts w:cs="Arial"/>
                <w:bCs/>
                <w:szCs w:val="16"/>
              </w:rPr>
            </w:pPr>
            <w:r w:rsidRPr="009F37D6">
              <w:rPr>
                <w:rFonts w:cs="Arial"/>
                <w:bCs/>
                <w:szCs w:val="16"/>
              </w:rPr>
              <w:t>82.58%</w:t>
            </w:r>
          </w:p>
        </w:tc>
        <w:tc>
          <w:tcPr>
            <w:tcW w:w="1540" w:type="dxa"/>
          </w:tcPr>
          <w:p w14:paraId="5121B9EE" w14:textId="77777777" w:rsidR="009F37D6" w:rsidRPr="009F37D6" w:rsidRDefault="009F37D6" w:rsidP="009F37D6">
            <w:pPr>
              <w:rPr>
                <w:rFonts w:cs="Arial"/>
                <w:bCs/>
                <w:szCs w:val="16"/>
              </w:rPr>
            </w:pPr>
            <w:r w:rsidRPr="009F37D6">
              <w:rPr>
                <w:rFonts w:cs="Arial"/>
                <w:bCs/>
                <w:szCs w:val="16"/>
              </w:rPr>
              <w:t>69.37%</w:t>
            </w:r>
          </w:p>
        </w:tc>
        <w:tc>
          <w:tcPr>
            <w:tcW w:w="1540" w:type="dxa"/>
          </w:tcPr>
          <w:p w14:paraId="15E6CEE2" w14:textId="77777777" w:rsidR="009F37D6" w:rsidRPr="009F37D6" w:rsidRDefault="009F37D6" w:rsidP="009F37D6">
            <w:pPr>
              <w:rPr>
                <w:rFonts w:cs="Arial"/>
                <w:bCs/>
                <w:szCs w:val="16"/>
              </w:rPr>
            </w:pPr>
            <w:r w:rsidRPr="009F37D6">
              <w:rPr>
                <w:rFonts w:cs="Arial"/>
                <w:bCs/>
                <w:szCs w:val="16"/>
              </w:rPr>
              <w:t>81.10%</w:t>
            </w:r>
          </w:p>
        </w:tc>
        <w:tc>
          <w:tcPr>
            <w:tcW w:w="1540" w:type="dxa"/>
          </w:tcPr>
          <w:p w14:paraId="529B6B66" w14:textId="77777777" w:rsidR="009F37D6" w:rsidRPr="009F37D6" w:rsidRDefault="009F37D6" w:rsidP="009F37D6">
            <w:pPr>
              <w:rPr>
                <w:rFonts w:cs="Arial"/>
                <w:bCs/>
                <w:szCs w:val="16"/>
              </w:rPr>
            </w:pPr>
            <w:r w:rsidRPr="009F37D6">
              <w:rPr>
                <w:rFonts w:cs="Arial"/>
                <w:bCs/>
                <w:szCs w:val="16"/>
              </w:rPr>
              <w:t>56.55%</w:t>
            </w:r>
          </w:p>
        </w:tc>
        <w:tc>
          <w:tcPr>
            <w:tcW w:w="1540" w:type="dxa"/>
          </w:tcPr>
          <w:p w14:paraId="2F7403D8" w14:textId="77777777" w:rsidR="009F37D6" w:rsidRPr="009F37D6" w:rsidRDefault="009F37D6" w:rsidP="009F37D6">
            <w:pPr>
              <w:rPr>
                <w:rFonts w:cs="Arial"/>
                <w:bCs/>
                <w:szCs w:val="16"/>
              </w:rPr>
            </w:pPr>
            <w:r w:rsidRPr="009F37D6">
              <w:rPr>
                <w:rFonts w:cs="Arial"/>
                <w:bCs/>
                <w:szCs w:val="16"/>
              </w:rPr>
              <w:t>85.30%</w:t>
            </w:r>
          </w:p>
        </w:tc>
        <w:tc>
          <w:tcPr>
            <w:tcW w:w="1540" w:type="dxa"/>
          </w:tcPr>
          <w:p w14:paraId="10C43C81" w14:textId="77777777" w:rsidR="009F37D6" w:rsidRPr="009F37D6" w:rsidRDefault="009F37D6" w:rsidP="009F37D6">
            <w:pPr>
              <w:rPr>
                <w:rFonts w:cs="Arial"/>
                <w:bCs/>
                <w:szCs w:val="16"/>
              </w:rPr>
            </w:pPr>
            <w:r w:rsidRPr="009F37D6">
              <w:rPr>
                <w:rFonts w:cs="Arial"/>
                <w:bCs/>
                <w:szCs w:val="16"/>
              </w:rPr>
              <w:t>71.29%</w:t>
            </w:r>
          </w:p>
        </w:tc>
      </w:tr>
    </w:tbl>
    <w:p w14:paraId="066B5259" w14:textId="77777777" w:rsidR="009F37D6" w:rsidRPr="009F37D6" w:rsidRDefault="009F37D6" w:rsidP="009F37D6">
      <w:pPr>
        <w:rPr>
          <w:rFonts w:cs="Arial"/>
          <w:b/>
          <w:szCs w:val="16"/>
        </w:rPr>
      </w:pPr>
    </w:p>
    <w:tbl>
      <w:tblPr>
        <w:tblStyle w:val="TableGrid1"/>
        <w:tblW w:w="5006" w:type="pct"/>
        <w:tblLook w:val="04A0" w:firstRow="1" w:lastRow="0" w:firstColumn="1" w:lastColumn="0" w:noHBand="0" w:noVBand="1"/>
        <w:tblCaption w:val="CAPPCSCR"/>
        <w:tblDescription w:val="Data Comparison Score"/>
      </w:tblPr>
      <w:tblGrid>
        <w:gridCol w:w="3163"/>
        <w:gridCol w:w="7640"/>
      </w:tblGrid>
      <w:tr w:rsidR="009F37D6" w:rsidRPr="009F37D6" w14:paraId="07C5CBA1" w14:textId="77777777" w:rsidTr="005B7427">
        <w:tc>
          <w:tcPr>
            <w:tcW w:w="1464" w:type="pct"/>
            <w:hideMark/>
          </w:tcPr>
          <w:p w14:paraId="5E42DD3F" w14:textId="77777777" w:rsidR="009F37D6" w:rsidRPr="009F37D6" w:rsidRDefault="009F37D6" w:rsidP="009F37D6">
            <w:pPr>
              <w:rPr>
                <w:rFonts w:cs="Arial"/>
                <w:b/>
                <w:szCs w:val="16"/>
              </w:rPr>
            </w:pPr>
            <w:r w:rsidRPr="009F37D6">
              <w:rPr>
                <w:rFonts w:cs="Arial"/>
                <w:b/>
                <w:szCs w:val="16"/>
              </w:rPr>
              <w:t>Data Comparison Score</w:t>
            </w:r>
          </w:p>
        </w:tc>
        <w:tc>
          <w:tcPr>
            <w:tcW w:w="3536" w:type="pct"/>
            <w:hideMark/>
          </w:tcPr>
          <w:p w14:paraId="462EAD93" w14:textId="77777777" w:rsidR="009F37D6" w:rsidRPr="009F37D6" w:rsidRDefault="009F37D6" w:rsidP="009F37D6">
            <w:pPr>
              <w:rPr>
                <w:rFonts w:cs="Arial"/>
                <w:b/>
                <w:szCs w:val="16"/>
              </w:rPr>
            </w:pPr>
            <w:r w:rsidRPr="009F37D6">
              <w:rPr>
                <w:rFonts w:cs="Arial"/>
                <w:b/>
                <w:szCs w:val="16"/>
              </w:rPr>
              <w:t>Total Points Received Across SS1 and SS2</w:t>
            </w:r>
          </w:p>
        </w:tc>
      </w:tr>
      <w:tr w:rsidR="009F37D6" w:rsidRPr="009F37D6" w14:paraId="5CCCFDDA" w14:textId="77777777" w:rsidTr="005B7427">
        <w:tc>
          <w:tcPr>
            <w:tcW w:w="1464" w:type="pct"/>
            <w:noWrap/>
            <w:hideMark/>
          </w:tcPr>
          <w:p w14:paraId="4A219031" w14:textId="77777777" w:rsidR="009F37D6" w:rsidRPr="009F37D6" w:rsidRDefault="009F37D6" w:rsidP="009F37D6">
            <w:pPr>
              <w:rPr>
                <w:rFonts w:cs="Arial"/>
                <w:b/>
                <w:szCs w:val="16"/>
              </w:rPr>
            </w:pPr>
            <w:r w:rsidRPr="009F37D6">
              <w:rPr>
                <w:rFonts w:cs="Arial"/>
                <w:b/>
                <w:szCs w:val="16"/>
              </w:rPr>
              <w:t>0</w:t>
            </w:r>
          </w:p>
        </w:tc>
        <w:tc>
          <w:tcPr>
            <w:tcW w:w="3536" w:type="pct"/>
            <w:noWrap/>
            <w:hideMark/>
          </w:tcPr>
          <w:p w14:paraId="04A58431" w14:textId="77777777" w:rsidR="009F37D6" w:rsidRPr="009F37D6" w:rsidRDefault="009F37D6" w:rsidP="009F37D6">
            <w:pPr>
              <w:rPr>
                <w:rFonts w:cs="Arial"/>
                <w:bCs/>
                <w:szCs w:val="16"/>
              </w:rPr>
            </w:pPr>
            <w:r w:rsidRPr="009F37D6">
              <w:rPr>
                <w:rFonts w:cs="Arial"/>
                <w:bCs/>
                <w:szCs w:val="16"/>
              </w:rPr>
              <w:t>0 through 4 points</w:t>
            </w:r>
          </w:p>
        </w:tc>
      </w:tr>
      <w:tr w:rsidR="009F37D6" w:rsidRPr="009F37D6" w14:paraId="4A78BC22" w14:textId="77777777" w:rsidTr="005B7427">
        <w:tc>
          <w:tcPr>
            <w:tcW w:w="1464" w:type="pct"/>
            <w:noWrap/>
            <w:hideMark/>
          </w:tcPr>
          <w:p w14:paraId="3F337AEC" w14:textId="77777777" w:rsidR="009F37D6" w:rsidRPr="009F37D6" w:rsidRDefault="009F37D6" w:rsidP="009F37D6">
            <w:pPr>
              <w:rPr>
                <w:rFonts w:cs="Arial"/>
                <w:b/>
                <w:szCs w:val="16"/>
              </w:rPr>
            </w:pPr>
            <w:r w:rsidRPr="009F37D6">
              <w:rPr>
                <w:rFonts w:cs="Arial"/>
                <w:b/>
                <w:szCs w:val="16"/>
              </w:rPr>
              <w:t>1</w:t>
            </w:r>
          </w:p>
        </w:tc>
        <w:tc>
          <w:tcPr>
            <w:tcW w:w="3536" w:type="pct"/>
            <w:noWrap/>
            <w:hideMark/>
          </w:tcPr>
          <w:p w14:paraId="34FF8AB3" w14:textId="77777777" w:rsidR="009F37D6" w:rsidRPr="009F37D6" w:rsidRDefault="009F37D6" w:rsidP="009F37D6">
            <w:pPr>
              <w:rPr>
                <w:rFonts w:cs="Arial"/>
                <w:bCs/>
                <w:szCs w:val="16"/>
              </w:rPr>
            </w:pPr>
            <w:r w:rsidRPr="009F37D6">
              <w:rPr>
                <w:rFonts w:cs="Arial"/>
                <w:bCs/>
                <w:szCs w:val="16"/>
              </w:rPr>
              <w:t>5 through 8 points</w:t>
            </w:r>
          </w:p>
        </w:tc>
      </w:tr>
      <w:tr w:rsidR="009F37D6" w:rsidRPr="009F37D6" w14:paraId="5C9A633E" w14:textId="77777777" w:rsidTr="005B7427">
        <w:tc>
          <w:tcPr>
            <w:tcW w:w="1464" w:type="pct"/>
            <w:noWrap/>
            <w:hideMark/>
          </w:tcPr>
          <w:p w14:paraId="14D64CA8" w14:textId="77777777" w:rsidR="009F37D6" w:rsidRPr="009F37D6" w:rsidRDefault="009F37D6" w:rsidP="009F37D6">
            <w:pPr>
              <w:rPr>
                <w:rFonts w:cs="Arial"/>
                <w:b/>
                <w:szCs w:val="16"/>
              </w:rPr>
            </w:pPr>
            <w:r w:rsidRPr="009F37D6">
              <w:rPr>
                <w:rFonts w:cs="Arial"/>
                <w:b/>
                <w:szCs w:val="16"/>
              </w:rPr>
              <w:t>2</w:t>
            </w:r>
          </w:p>
        </w:tc>
        <w:tc>
          <w:tcPr>
            <w:tcW w:w="3536" w:type="pct"/>
            <w:noWrap/>
            <w:hideMark/>
          </w:tcPr>
          <w:p w14:paraId="7C477682" w14:textId="77777777" w:rsidR="009F37D6" w:rsidRPr="009F37D6" w:rsidRDefault="009F37D6" w:rsidP="009F37D6">
            <w:pPr>
              <w:rPr>
                <w:rFonts w:cs="Arial"/>
                <w:bCs/>
                <w:szCs w:val="16"/>
              </w:rPr>
            </w:pPr>
            <w:r w:rsidRPr="009F37D6">
              <w:rPr>
                <w:rFonts w:cs="Arial"/>
                <w:bCs/>
                <w:szCs w:val="16"/>
              </w:rPr>
              <w:t>9 through 12 points</w:t>
            </w:r>
          </w:p>
        </w:tc>
      </w:tr>
    </w:tbl>
    <w:p w14:paraId="69838966" w14:textId="77777777" w:rsidR="00A67CEE" w:rsidRDefault="00A67CEE" w:rsidP="009F37D6">
      <w:pPr>
        <w:rPr>
          <w:rFonts w:cs="Arial"/>
          <w:b/>
          <w:bCs/>
          <w:szCs w:val="16"/>
        </w:rPr>
      </w:pPr>
    </w:p>
    <w:p w14:paraId="29DE31D8" w14:textId="7FC6DD65" w:rsidR="009F37D6" w:rsidRPr="009F37D6" w:rsidRDefault="009F37D6" w:rsidP="009F37D6">
      <w:pPr>
        <w:rPr>
          <w:rFonts w:cs="Arial"/>
          <w:b/>
          <w:bCs/>
          <w:szCs w:val="16"/>
        </w:rPr>
      </w:pPr>
      <w:r w:rsidRPr="009F37D6">
        <w:rPr>
          <w:rFonts w:cs="Arial"/>
          <w:b/>
          <w:bCs/>
          <w:szCs w:val="16"/>
        </w:rPr>
        <w:t>Your State’s Summary Statement Performance FFY 2022</w:t>
      </w:r>
    </w:p>
    <w:tbl>
      <w:tblPr>
        <w:tblStyle w:val="TableGrid1"/>
        <w:tblW w:w="10790" w:type="dxa"/>
        <w:tblLayout w:type="fixed"/>
        <w:tblLook w:val="04A0" w:firstRow="1" w:lastRow="0" w:firstColumn="1" w:lastColumn="0" w:noHBand="0" w:noVBand="1"/>
        <w:tblCaption w:val="C03STESSP"/>
      </w:tblPr>
      <w:tblGrid>
        <w:gridCol w:w="1541"/>
        <w:gridCol w:w="1541"/>
        <w:gridCol w:w="1542"/>
        <w:gridCol w:w="1541"/>
        <w:gridCol w:w="1542"/>
        <w:gridCol w:w="1541"/>
        <w:gridCol w:w="1542"/>
      </w:tblGrid>
      <w:tr w:rsidR="009F37D6" w:rsidRPr="009F37D6" w14:paraId="004F0D78" w14:textId="77777777" w:rsidTr="004A2E39">
        <w:trPr>
          <w:tblHeader/>
        </w:trPr>
        <w:tc>
          <w:tcPr>
            <w:tcW w:w="1541" w:type="dxa"/>
          </w:tcPr>
          <w:p w14:paraId="4C2AE9A9" w14:textId="77777777" w:rsidR="009F37D6" w:rsidRPr="009F37D6" w:rsidRDefault="009F37D6" w:rsidP="009F37D6">
            <w:pPr>
              <w:rPr>
                <w:rFonts w:cs="Arial"/>
                <w:b/>
                <w:szCs w:val="16"/>
              </w:rPr>
            </w:pPr>
            <w:r w:rsidRPr="009F37D6">
              <w:rPr>
                <w:rFonts w:cs="Arial"/>
                <w:b/>
                <w:szCs w:val="16"/>
              </w:rPr>
              <w:t>Summary Statement (SS)</w:t>
            </w:r>
          </w:p>
        </w:tc>
        <w:tc>
          <w:tcPr>
            <w:tcW w:w="1541" w:type="dxa"/>
          </w:tcPr>
          <w:p w14:paraId="2552C918" w14:textId="77777777" w:rsidR="009F37D6" w:rsidRPr="009F37D6" w:rsidRDefault="009F37D6" w:rsidP="009F37D6">
            <w:pPr>
              <w:rPr>
                <w:rFonts w:cs="Arial"/>
                <w:b/>
                <w:szCs w:val="16"/>
              </w:rPr>
            </w:pPr>
            <w:r w:rsidRPr="009F37D6">
              <w:rPr>
                <w:rFonts w:cs="Arial"/>
                <w:b/>
                <w:szCs w:val="16"/>
              </w:rPr>
              <w:t>Outcome A: Positive Social Relationships SS1</w:t>
            </w:r>
          </w:p>
        </w:tc>
        <w:tc>
          <w:tcPr>
            <w:tcW w:w="1542" w:type="dxa"/>
          </w:tcPr>
          <w:p w14:paraId="73F9693E" w14:textId="77777777" w:rsidR="009F37D6" w:rsidRPr="009F37D6" w:rsidRDefault="009F37D6" w:rsidP="009F37D6">
            <w:pPr>
              <w:rPr>
                <w:rFonts w:cs="Arial"/>
                <w:b/>
                <w:szCs w:val="16"/>
              </w:rPr>
            </w:pPr>
            <w:r w:rsidRPr="009F37D6">
              <w:rPr>
                <w:rFonts w:cs="Arial"/>
                <w:b/>
                <w:szCs w:val="16"/>
              </w:rPr>
              <w:t>Outcome A: Positive Social Relationships SS2</w:t>
            </w:r>
          </w:p>
        </w:tc>
        <w:tc>
          <w:tcPr>
            <w:tcW w:w="1541" w:type="dxa"/>
          </w:tcPr>
          <w:p w14:paraId="42477353" w14:textId="77777777" w:rsidR="009F37D6" w:rsidRPr="009F37D6" w:rsidRDefault="009F37D6" w:rsidP="009F37D6">
            <w:pPr>
              <w:rPr>
                <w:rFonts w:cs="Arial"/>
                <w:b/>
                <w:szCs w:val="16"/>
              </w:rPr>
            </w:pPr>
            <w:r w:rsidRPr="009F37D6">
              <w:rPr>
                <w:rFonts w:cs="Arial"/>
                <w:b/>
                <w:szCs w:val="16"/>
              </w:rPr>
              <w:t>Outcome B: Knowledge and Skills SS1</w:t>
            </w:r>
          </w:p>
        </w:tc>
        <w:tc>
          <w:tcPr>
            <w:tcW w:w="1542" w:type="dxa"/>
          </w:tcPr>
          <w:p w14:paraId="4A1FFE1C" w14:textId="77777777" w:rsidR="009F37D6" w:rsidRPr="009F37D6" w:rsidRDefault="009F37D6" w:rsidP="009F37D6">
            <w:pPr>
              <w:rPr>
                <w:rFonts w:cs="Arial"/>
                <w:b/>
                <w:szCs w:val="16"/>
              </w:rPr>
            </w:pPr>
            <w:r w:rsidRPr="009F37D6">
              <w:rPr>
                <w:rFonts w:cs="Arial"/>
                <w:b/>
                <w:szCs w:val="16"/>
              </w:rPr>
              <w:t>Outcome B: Knowledge and Skills SS2</w:t>
            </w:r>
          </w:p>
        </w:tc>
        <w:tc>
          <w:tcPr>
            <w:tcW w:w="1541" w:type="dxa"/>
          </w:tcPr>
          <w:p w14:paraId="48645289" w14:textId="77777777" w:rsidR="009F37D6" w:rsidRPr="009F37D6" w:rsidRDefault="009F37D6" w:rsidP="009F37D6">
            <w:pPr>
              <w:rPr>
                <w:rFonts w:cs="Arial"/>
                <w:b/>
                <w:szCs w:val="16"/>
              </w:rPr>
            </w:pPr>
            <w:r w:rsidRPr="009F37D6">
              <w:rPr>
                <w:rFonts w:cs="Arial"/>
                <w:b/>
                <w:szCs w:val="16"/>
              </w:rPr>
              <w:t>Outcome C: Actions to meet needs SS1</w:t>
            </w:r>
          </w:p>
        </w:tc>
        <w:tc>
          <w:tcPr>
            <w:tcW w:w="1542" w:type="dxa"/>
          </w:tcPr>
          <w:p w14:paraId="4BBF2DDB" w14:textId="77777777" w:rsidR="009F37D6" w:rsidRPr="009F37D6" w:rsidRDefault="009F37D6" w:rsidP="009F37D6">
            <w:pPr>
              <w:rPr>
                <w:rFonts w:cs="Arial"/>
                <w:b/>
                <w:szCs w:val="16"/>
              </w:rPr>
            </w:pPr>
            <w:r w:rsidRPr="009F37D6">
              <w:rPr>
                <w:rFonts w:cs="Arial"/>
                <w:b/>
                <w:szCs w:val="16"/>
              </w:rPr>
              <w:t>Outcome C: Actions to meet needs SS2</w:t>
            </w:r>
          </w:p>
        </w:tc>
      </w:tr>
      <w:tr w:rsidR="009F37D6" w:rsidRPr="009F37D6" w14:paraId="7D8923E2" w14:textId="77777777" w:rsidTr="00B80BA1">
        <w:tc>
          <w:tcPr>
            <w:tcW w:w="1541" w:type="dxa"/>
          </w:tcPr>
          <w:p w14:paraId="73C45F13" w14:textId="77777777" w:rsidR="009F37D6" w:rsidRPr="009F37D6" w:rsidRDefault="009F37D6" w:rsidP="009F37D6">
            <w:pPr>
              <w:rPr>
                <w:rFonts w:cs="Arial"/>
                <w:b/>
                <w:szCs w:val="16"/>
              </w:rPr>
            </w:pPr>
            <w:r w:rsidRPr="009F37D6">
              <w:rPr>
                <w:rFonts w:cs="Arial"/>
                <w:b/>
                <w:szCs w:val="16"/>
              </w:rPr>
              <w:t>Performance (%)</w:t>
            </w:r>
          </w:p>
        </w:tc>
        <w:tc>
          <w:tcPr>
            <w:tcW w:w="1541" w:type="dxa"/>
          </w:tcPr>
          <w:p w14:paraId="4F805BBB" w14:textId="7CC98BA7" w:rsidR="009F37D6" w:rsidRPr="009F37D6" w:rsidRDefault="009F37D6" w:rsidP="009F37D6">
            <w:pPr>
              <w:rPr>
                <w:rFonts w:cs="Arial"/>
                <w:bCs/>
                <w:szCs w:val="16"/>
              </w:rPr>
            </w:pPr>
            <w:r w:rsidRPr="009F37D6">
              <w:rPr>
                <w:rFonts w:cs="Arial"/>
                <w:bCs/>
                <w:szCs w:val="16"/>
              </w:rPr>
              <w:t>79.62%</w:t>
            </w:r>
          </w:p>
        </w:tc>
        <w:tc>
          <w:tcPr>
            <w:tcW w:w="1542" w:type="dxa"/>
          </w:tcPr>
          <w:p w14:paraId="0A4BF884" w14:textId="147273C9" w:rsidR="009F37D6" w:rsidRPr="009F37D6" w:rsidRDefault="009F37D6" w:rsidP="009F37D6">
            <w:pPr>
              <w:rPr>
                <w:rFonts w:cs="Arial"/>
                <w:bCs/>
                <w:szCs w:val="16"/>
              </w:rPr>
            </w:pPr>
            <w:r w:rsidRPr="009F37D6">
              <w:rPr>
                <w:rFonts w:cs="Arial"/>
                <w:bCs/>
                <w:szCs w:val="16"/>
              </w:rPr>
              <w:t>28.07%</w:t>
            </w:r>
          </w:p>
        </w:tc>
        <w:tc>
          <w:tcPr>
            <w:tcW w:w="1541" w:type="dxa"/>
          </w:tcPr>
          <w:p w14:paraId="1F89A2CB" w14:textId="2D305F3C" w:rsidR="009F37D6" w:rsidRPr="009F37D6" w:rsidRDefault="009F37D6" w:rsidP="009F37D6">
            <w:pPr>
              <w:rPr>
                <w:rFonts w:cs="Arial"/>
                <w:bCs/>
                <w:szCs w:val="16"/>
              </w:rPr>
            </w:pPr>
            <w:r w:rsidRPr="009F37D6">
              <w:rPr>
                <w:rFonts w:cs="Arial"/>
                <w:bCs/>
                <w:szCs w:val="16"/>
              </w:rPr>
              <w:t>79.64%</w:t>
            </w:r>
          </w:p>
        </w:tc>
        <w:tc>
          <w:tcPr>
            <w:tcW w:w="1542" w:type="dxa"/>
          </w:tcPr>
          <w:p w14:paraId="7E36FA1E" w14:textId="3FFCA954" w:rsidR="009F37D6" w:rsidRPr="009F37D6" w:rsidRDefault="009F37D6" w:rsidP="009F37D6">
            <w:pPr>
              <w:rPr>
                <w:rFonts w:cs="Arial"/>
                <w:bCs/>
                <w:szCs w:val="16"/>
              </w:rPr>
            </w:pPr>
            <w:r w:rsidRPr="009F37D6">
              <w:rPr>
                <w:rFonts w:cs="Arial"/>
                <w:bCs/>
                <w:szCs w:val="16"/>
              </w:rPr>
              <w:t>26.55%</w:t>
            </w:r>
          </w:p>
        </w:tc>
        <w:tc>
          <w:tcPr>
            <w:tcW w:w="1541" w:type="dxa"/>
          </w:tcPr>
          <w:p w14:paraId="1E264FD4" w14:textId="18CA2277" w:rsidR="009F37D6" w:rsidRPr="009F37D6" w:rsidRDefault="009F37D6" w:rsidP="009F37D6">
            <w:pPr>
              <w:rPr>
                <w:rFonts w:cs="Arial"/>
                <w:bCs/>
                <w:szCs w:val="16"/>
              </w:rPr>
            </w:pPr>
            <w:r w:rsidRPr="009F37D6">
              <w:rPr>
                <w:rFonts w:cs="Arial"/>
                <w:bCs/>
                <w:szCs w:val="16"/>
              </w:rPr>
              <w:t>77.10%</w:t>
            </w:r>
          </w:p>
        </w:tc>
        <w:tc>
          <w:tcPr>
            <w:tcW w:w="1542" w:type="dxa"/>
          </w:tcPr>
          <w:p w14:paraId="3ED14677" w14:textId="0D242C98" w:rsidR="009F37D6" w:rsidRPr="009F37D6" w:rsidRDefault="009F37D6" w:rsidP="009F37D6">
            <w:pPr>
              <w:rPr>
                <w:rFonts w:cs="Arial"/>
                <w:bCs/>
                <w:szCs w:val="16"/>
              </w:rPr>
            </w:pPr>
            <w:r w:rsidRPr="009F37D6">
              <w:rPr>
                <w:rFonts w:cs="Arial"/>
                <w:bCs/>
                <w:szCs w:val="16"/>
              </w:rPr>
              <w:t>31.12%</w:t>
            </w:r>
          </w:p>
        </w:tc>
      </w:tr>
      <w:tr w:rsidR="009F37D6" w:rsidRPr="009F37D6" w14:paraId="5BB68048" w14:textId="77777777" w:rsidTr="00B80BA1">
        <w:tc>
          <w:tcPr>
            <w:tcW w:w="1541" w:type="dxa"/>
          </w:tcPr>
          <w:p w14:paraId="1132A172" w14:textId="77777777" w:rsidR="009F37D6" w:rsidRPr="009F37D6" w:rsidRDefault="009F37D6" w:rsidP="009F37D6">
            <w:pPr>
              <w:rPr>
                <w:rFonts w:cs="Arial"/>
                <w:b/>
                <w:szCs w:val="16"/>
              </w:rPr>
            </w:pPr>
            <w:r w:rsidRPr="009F37D6">
              <w:rPr>
                <w:rFonts w:cs="Arial"/>
                <w:b/>
                <w:szCs w:val="16"/>
              </w:rPr>
              <w:t>Points</w:t>
            </w:r>
          </w:p>
        </w:tc>
        <w:tc>
          <w:tcPr>
            <w:tcW w:w="1541" w:type="dxa"/>
          </w:tcPr>
          <w:p w14:paraId="5E684E21" w14:textId="77777777" w:rsidR="009F37D6" w:rsidRPr="009F37D6" w:rsidRDefault="009F37D6" w:rsidP="009F37D6">
            <w:pPr>
              <w:rPr>
                <w:rFonts w:cs="Arial"/>
                <w:bCs/>
                <w:szCs w:val="16"/>
              </w:rPr>
            </w:pPr>
            <w:r w:rsidRPr="009F37D6">
              <w:rPr>
                <w:rFonts w:cs="Arial"/>
                <w:bCs/>
                <w:szCs w:val="16"/>
              </w:rPr>
              <w:t>1</w:t>
            </w:r>
          </w:p>
        </w:tc>
        <w:tc>
          <w:tcPr>
            <w:tcW w:w="1542" w:type="dxa"/>
          </w:tcPr>
          <w:p w14:paraId="628A3F46" w14:textId="77777777" w:rsidR="009F37D6" w:rsidRPr="009F37D6" w:rsidRDefault="009F37D6" w:rsidP="009F37D6">
            <w:pPr>
              <w:rPr>
                <w:rFonts w:cs="Arial"/>
                <w:bCs/>
                <w:szCs w:val="16"/>
              </w:rPr>
            </w:pPr>
            <w:r w:rsidRPr="009F37D6">
              <w:rPr>
                <w:rFonts w:cs="Arial"/>
                <w:bCs/>
                <w:szCs w:val="16"/>
              </w:rPr>
              <w:t>0</w:t>
            </w:r>
          </w:p>
        </w:tc>
        <w:tc>
          <w:tcPr>
            <w:tcW w:w="1541" w:type="dxa"/>
          </w:tcPr>
          <w:p w14:paraId="6CAA40DC" w14:textId="77777777" w:rsidR="009F37D6" w:rsidRPr="009F37D6" w:rsidRDefault="009F37D6" w:rsidP="009F37D6">
            <w:pPr>
              <w:rPr>
                <w:rFonts w:cs="Arial"/>
                <w:bCs/>
                <w:szCs w:val="16"/>
              </w:rPr>
            </w:pPr>
            <w:r w:rsidRPr="009F37D6">
              <w:rPr>
                <w:rFonts w:cs="Arial"/>
                <w:bCs/>
                <w:szCs w:val="16"/>
              </w:rPr>
              <w:t>1</w:t>
            </w:r>
          </w:p>
        </w:tc>
        <w:tc>
          <w:tcPr>
            <w:tcW w:w="1542" w:type="dxa"/>
          </w:tcPr>
          <w:p w14:paraId="5A872F5B" w14:textId="77777777" w:rsidR="009F37D6" w:rsidRPr="009F37D6" w:rsidRDefault="009F37D6" w:rsidP="009F37D6">
            <w:pPr>
              <w:rPr>
                <w:rFonts w:cs="Arial"/>
                <w:bCs/>
                <w:szCs w:val="16"/>
              </w:rPr>
            </w:pPr>
            <w:r w:rsidRPr="009F37D6">
              <w:rPr>
                <w:rFonts w:cs="Arial"/>
                <w:bCs/>
                <w:szCs w:val="16"/>
              </w:rPr>
              <w:t>0</w:t>
            </w:r>
          </w:p>
        </w:tc>
        <w:tc>
          <w:tcPr>
            <w:tcW w:w="1541" w:type="dxa"/>
          </w:tcPr>
          <w:p w14:paraId="0F30A495" w14:textId="77777777" w:rsidR="009F37D6" w:rsidRPr="009F37D6" w:rsidRDefault="009F37D6" w:rsidP="009F37D6">
            <w:pPr>
              <w:rPr>
                <w:rFonts w:cs="Arial"/>
                <w:bCs/>
                <w:szCs w:val="16"/>
              </w:rPr>
            </w:pPr>
            <w:r w:rsidRPr="009F37D6">
              <w:rPr>
                <w:rFonts w:cs="Arial"/>
                <w:bCs/>
                <w:szCs w:val="16"/>
              </w:rPr>
              <w:t>1</w:t>
            </w:r>
          </w:p>
        </w:tc>
        <w:tc>
          <w:tcPr>
            <w:tcW w:w="1542" w:type="dxa"/>
          </w:tcPr>
          <w:p w14:paraId="58269888" w14:textId="77777777" w:rsidR="009F37D6" w:rsidRPr="009F37D6" w:rsidRDefault="009F37D6" w:rsidP="009F37D6">
            <w:pPr>
              <w:rPr>
                <w:rFonts w:cs="Arial"/>
                <w:bCs/>
                <w:szCs w:val="16"/>
              </w:rPr>
            </w:pPr>
            <w:r w:rsidRPr="009F37D6">
              <w:rPr>
                <w:rFonts w:cs="Arial"/>
                <w:bCs/>
                <w:szCs w:val="16"/>
              </w:rPr>
              <w:t>0</w:t>
            </w:r>
          </w:p>
        </w:tc>
      </w:tr>
    </w:tbl>
    <w:p w14:paraId="0364330F"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SPTPFNL"/>
      </w:tblPr>
      <w:tblGrid>
        <w:gridCol w:w="5400"/>
        <w:gridCol w:w="5400"/>
      </w:tblGrid>
      <w:tr w:rsidR="009F37D6" w:rsidRPr="009F37D6" w14:paraId="59592056" w14:textId="77777777" w:rsidTr="00B80BA1">
        <w:tc>
          <w:tcPr>
            <w:tcW w:w="5400" w:type="dxa"/>
          </w:tcPr>
          <w:p w14:paraId="36078551" w14:textId="77777777" w:rsidR="009F37D6" w:rsidRPr="009F37D6" w:rsidRDefault="009F37D6" w:rsidP="009F37D6">
            <w:pPr>
              <w:rPr>
                <w:rFonts w:cs="Arial"/>
                <w:b/>
                <w:szCs w:val="16"/>
              </w:rPr>
            </w:pPr>
            <w:r w:rsidRPr="009F37D6">
              <w:rPr>
                <w:rFonts w:cs="Arial"/>
                <w:b/>
                <w:szCs w:val="16"/>
              </w:rPr>
              <w:t>Total Points Across SS1 and SS2(*)</w:t>
            </w:r>
          </w:p>
        </w:tc>
        <w:tc>
          <w:tcPr>
            <w:tcW w:w="5400" w:type="dxa"/>
          </w:tcPr>
          <w:p w14:paraId="5992371C" w14:textId="77777777" w:rsidR="009F37D6" w:rsidRPr="009F37D6" w:rsidRDefault="009F37D6" w:rsidP="009F37D6">
            <w:pPr>
              <w:rPr>
                <w:rFonts w:cs="Arial"/>
                <w:bCs/>
                <w:szCs w:val="16"/>
              </w:rPr>
            </w:pPr>
            <w:r w:rsidRPr="009F37D6">
              <w:rPr>
                <w:rFonts w:cs="Arial"/>
                <w:bCs/>
                <w:szCs w:val="16"/>
              </w:rPr>
              <w:t>3</w:t>
            </w:r>
          </w:p>
        </w:tc>
      </w:tr>
    </w:tbl>
    <w:p w14:paraId="4B3A640D"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TECOMPFNL"/>
      </w:tblPr>
      <w:tblGrid>
        <w:gridCol w:w="5400"/>
        <w:gridCol w:w="5400"/>
      </w:tblGrid>
      <w:tr w:rsidR="009F37D6" w:rsidRPr="009F37D6" w14:paraId="4E1197DE" w14:textId="77777777" w:rsidTr="00B80BA1">
        <w:tc>
          <w:tcPr>
            <w:tcW w:w="5400" w:type="dxa"/>
          </w:tcPr>
          <w:p w14:paraId="1A1D1447" w14:textId="77777777" w:rsidR="009F37D6" w:rsidRPr="009F37D6" w:rsidRDefault="009F37D6" w:rsidP="009F37D6">
            <w:pPr>
              <w:rPr>
                <w:rFonts w:cs="Arial"/>
                <w:b/>
                <w:szCs w:val="16"/>
              </w:rPr>
            </w:pPr>
            <w:r w:rsidRPr="009F37D6">
              <w:rPr>
                <w:rFonts w:cs="Arial"/>
                <w:b/>
                <w:szCs w:val="16"/>
              </w:rPr>
              <w:t>Your State’s Data Comparison Score</w:t>
            </w:r>
          </w:p>
        </w:tc>
        <w:tc>
          <w:tcPr>
            <w:tcW w:w="5400" w:type="dxa"/>
          </w:tcPr>
          <w:p w14:paraId="689F9B31" w14:textId="77777777" w:rsidR="009F37D6" w:rsidRPr="009F37D6" w:rsidRDefault="009F37D6" w:rsidP="009F37D6">
            <w:pPr>
              <w:rPr>
                <w:rFonts w:cs="Arial"/>
                <w:bCs/>
                <w:szCs w:val="16"/>
              </w:rPr>
            </w:pPr>
            <w:r w:rsidRPr="009F37D6">
              <w:rPr>
                <w:rFonts w:cs="Arial"/>
                <w:bCs/>
                <w:szCs w:val="16"/>
              </w:rPr>
              <w:t>0</w:t>
            </w:r>
          </w:p>
        </w:tc>
      </w:tr>
    </w:tbl>
    <w:p w14:paraId="5B723B46" w14:textId="07471B67" w:rsidR="002E52E1" w:rsidRDefault="002E52E1" w:rsidP="001E51FC">
      <w:pPr>
        <w:rPr>
          <w:rFonts w:cs="Arial"/>
          <w:b/>
          <w:bCs/>
          <w:szCs w:val="16"/>
        </w:rPr>
      </w:pPr>
    </w:p>
    <w:p w14:paraId="691FE2A7" w14:textId="7F3ECCF1" w:rsidR="006D2754" w:rsidRDefault="002E52E1" w:rsidP="002E52E1">
      <w:pPr>
        <w:spacing w:before="0" w:after="200" w:line="276" w:lineRule="auto"/>
        <w:rPr>
          <w:rFonts w:cs="Arial"/>
          <w:b/>
          <w:bCs/>
          <w:szCs w:val="16"/>
        </w:rPr>
      </w:pPr>
      <w:r>
        <w:rPr>
          <w:rFonts w:cs="Arial"/>
          <w:b/>
          <w:bCs/>
          <w:szCs w:val="16"/>
        </w:rPr>
        <w:br w:type="page"/>
      </w:r>
    </w:p>
    <w:p w14:paraId="0FC96435" w14:textId="4858C119" w:rsidR="001E51FC" w:rsidRPr="001E51FC" w:rsidRDefault="001E51FC" w:rsidP="001E51FC">
      <w:pPr>
        <w:rPr>
          <w:rFonts w:cs="Arial"/>
          <w:b/>
          <w:bCs/>
          <w:szCs w:val="16"/>
        </w:rPr>
      </w:pPr>
      <w:r w:rsidRPr="001E51FC">
        <w:rPr>
          <w:rFonts w:cs="Arial"/>
          <w:b/>
          <w:bCs/>
          <w:szCs w:val="16"/>
        </w:rPr>
        <w:lastRenderedPageBreak/>
        <w:t>Appendix D</w:t>
      </w:r>
    </w:p>
    <w:p w14:paraId="5F13077F" w14:textId="77777777" w:rsidR="00A67CEE" w:rsidRDefault="00A67CEE" w:rsidP="001E51FC">
      <w:pPr>
        <w:rPr>
          <w:rFonts w:cs="Arial"/>
          <w:b/>
          <w:bCs/>
          <w:szCs w:val="16"/>
        </w:rPr>
      </w:pPr>
    </w:p>
    <w:p w14:paraId="763323B9" w14:textId="77777777" w:rsidR="00A67CEE" w:rsidRDefault="001E51FC" w:rsidP="001E51FC">
      <w:pPr>
        <w:rPr>
          <w:rFonts w:cs="Arial"/>
          <w:b/>
          <w:bCs/>
          <w:szCs w:val="16"/>
        </w:rPr>
      </w:pPr>
      <w:r w:rsidRPr="001E51FC">
        <w:rPr>
          <w:rFonts w:cs="Arial"/>
          <w:b/>
          <w:bCs/>
          <w:szCs w:val="16"/>
        </w:rPr>
        <w:t xml:space="preserve">II. (b) Performance Change Over Time: </w:t>
      </w:r>
    </w:p>
    <w:p w14:paraId="3C16071E" w14:textId="23CD0695" w:rsidR="001E51FC" w:rsidRPr="001E51FC" w:rsidRDefault="001E51FC" w:rsidP="001E51FC">
      <w:pPr>
        <w:rPr>
          <w:rFonts w:cs="Arial"/>
          <w:b/>
          <w:bCs/>
          <w:szCs w:val="16"/>
        </w:rPr>
      </w:pPr>
      <w:r w:rsidRPr="001E51FC">
        <w:rPr>
          <w:rFonts w:cs="Arial"/>
          <w:b/>
          <w:bCs/>
          <w:szCs w:val="16"/>
        </w:rPr>
        <w:t>Comparing your State’s FFY 202</w:t>
      </w:r>
      <w:r w:rsidR="009E50A6">
        <w:rPr>
          <w:rFonts w:cs="Arial"/>
          <w:b/>
          <w:bCs/>
          <w:szCs w:val="16"/>
        </w:rPr>
        <w:t>2</w:t>
      </w:r>
      <w:r w:rsidRPr="001E51FC">
        <w:rPr>
          <w:rFonts w:cs="Arial"/>
          <w:b/>
          <w:bCs/>
          <w:szCs w:val="16"/>
        </w:rPr>
        <w:t xml:space="preserve"> data to your State’s FFY 202</w:t>
      </w:r>
      <w:r w:rsidR="009E50A6">
        <w:rPr>
          <w:rFonts w:cs="Arial"/>
          <w:b/>
          <w:bCs/>
          <w:szCs w:val="16"/>
        </w:rPr>
        <w:t>1</w:t>
      </w:r>
      <w:r w:rsidRPr="001E51FC">
        <w:rPr>
          <w:rFonts w:cs="Arial"/>
          <w:b/>
          <w:bCs/>
          <w:szCs w:val="16"/>
        </w:rPr>
        <w:t xml:space="preserve"> data</w:t>
      </w:r>
    </w:p>
    <w:p w14:paraId="341BD6C7" w14:textId="72F93451" w:rsidR="001E51FC" w:rsidRPr="00A67CEE" w:rsidRDefault="001E51FC" w:rsidP="001E51FC">
      <w:pPr>
        <w:rPr>
          <w:rFonts w:cs="Arial"/>
          <w:bCs/>
          <w:szCs w:val="16"/>
        </w:rPr>
      </w:pPr>
      <w:r w:rsidRPr="00A67CEE">
        <w:rPr>
          <w:rFonts w:cs="Arial"/>
          <w:bCs/>
          <w:szCs w:val="16"/>
        </w:rPr>
        <w:t>The Summary Statement percentages in each Outcomes Area from the previous year’s reporting (FFY 2021) is compared to the current year (FFY 2022) using the test of proportional difference to determine whether there is a statistically significant (or meaningful) growth or decline in child achievement based upon a significance level of p&lt;=.05. The data in each Outcome Area is assigned a value of 0 if there was a statistically significant decrease from one year to the next, a value of 1 if there was no significant change, and a value of 2 if there was a statistically significant increase across the years. The scores from all 6 Outcome Areas are totaled, resulting in a score from 0 – 12. The Overall Performance Change Score for this results element of ‘0’, ‘1’, or ‘2’ for each State is based on the total points awarded. Where OSEP has approved a State’s reestablishment of its Indicator C3 Outcome Area baseline data the State received a score of ‘N/A’ for this element.</w:t>
      </w:r>
    </w:p>
    <w:p w14:paraId="6CB65421" w14:textId="77777777" w:rsidR="00A67CEE" w:rsidRDefault="00A67CEE" w:rsidP="001E51FC">
      <w:pPr>
        <w:rPr>
          <w:rFonts w:cs="Arial"/>
          <w:b/>
          <w:bCs/>
          <w:szCs w:val="16"/>
        </w:rPr>
      </w:pPr>
    </w:p>
    <w:p w14:paraId="2B0B51B5" w14:textId="6E707E9E" w:rsidR="001E51FC" w:rsidRPr="001E51FC" w:rsidRDefault="001E51FC" w:rsidP="001E51FC">
      <w:pPr>
        <w:rPr>
          <w:rFonts w:cs="Arial"/>
          <w:b/>
          <w:bCs/>
          <w:szCs w:val="16"/>
        </w:rPr>
      </w:pPr>
      <w:r w:rsidRPr="001E51FC">
        <w:rPr>
          <w:rFonts w:cs="Arial"/>
          <w:b/>
          <w:bCs/>
          <w:szCs w:val="16"/>
        </w:rPr>
        <w:t>Test of Proportional Difference Calculation Overview</w:t>
      </w:r>
    </w:p>
    <w:p w14:paraId="6C4A562E" w14:textId="6480A402" w:rsidR="001E51FC" w:rsidRPr="00A67CEE" w:rsidRDefault="001E51FC" w:rsidP="001E51FC">
      <w:pPr>
        <w:rPr>
          <w:rFonts w:cs="Arial"/>
          <w:bCs/>
          <w:szCs w:val="16"/>
        </w:rPr>
      </w:pPr>
      <w:r w:rsidRPr="00A67CEE">
        <w:rPr>
          <w:rFonts w:cs="Arial"/>
          <w:bCs/>
          <w:szCs w:val="16"/>
        </w:rPr>
        <w:t>The summary statement percentages from the previous year’s reporting were compared to the current year using an accepted formula (test of proportional difference) to determine whether the difference between the two percentages is statistically significant (or meaningful), based upon a significance level of p&lt;=.05. The statistical test has several steps. All values are shown as rounded for display purposes.</w:t>
      </w:r>
    </w:p>
    <w:p w14:paraId="0BBD088B" w14:textId="77777777" w:rsidR="00A67CEE" w:rsidRDefault="00A67CEE" w:rsidP="001E51FC">
      <w:pPr>
        <w:rPr>
          <w:rFonts w:cs="Arial"/>
          <w:bCs/>
          <w:szCs w:val="16"/>
        </w:rPr>
      </w:pPr>
    </w:p>
    <w:p w14:paraId="373542AE" w14:textId="38A97E24" w:rsidR="007B0FF2" w:rsidRPr="00A67CEE" w:rsidRDefault="007B0FF2" w:rsidP="007B0FF2">
      <w:pPr>
        <w:rPr>
          <w:rFonts w:cs="Arial"/>
          <w:bCs/>
          <w:szCs w:val="16"/>
        </w:rPr>
      </w:pPr>
      <w:r w:rsidRPr="00A67CEE">
        <w:rPr>
          <w:rFonts w:cs="Arial"/>
          <w:bCs/>
          <w:szCs w:val="16"/>
        </w:rPr>
        <w:t>Step 1: Compute the difference between the FFY 2022 and FFY 2021 summary statements.</w:t>
      </w:r>
    </w:p>
    <w:p w14:paraId="114BDD3D" w14:textId="438F460A" w:rsidR="007B0FF2" w:rsidRPr="00A67CEE" w:rsidRDefault="007B0FF2" w:rsidP="007B0FF2">
      <w:pPr>
        <w:ind w:firstLine="720"/>
        <w:rPr>
          <w:rFonts w:cs="Arial"/>
          <w:bCs/>
          <w:szCs w:val="16"/>
        </w:rPr>
      </w:pPr>
      <w:r w:rsidRPr="00A67CEE">
        <w:rPr>
          <w:rFonts w:cs="Arial"/>
          <w:bCs/>
          <w:szCs w:val="16"/>
        </w:rPr>
        <w:t>e.g., C3A FFY2022% - C3A FFY2021% = Difference in proportions</w:t>
      </w:r>
    </w:p>
    <w:p w14:paraId="26732057" w14:textId="77777777" w:rsidR="007B0FF2" w:rsidRDefault="007B0FF2" w:rsidP="007B0FF2">
      <w:pPr>
        <w:rPr>
          <w:rFonts w:cs="Arial"/>
          <w:bCs/>
          <w:szCs w:val="16"/>
        </w:rPr>
      </w:pPr>
    </w:p>
    <w:p w14:paraId="4E6FA3E0" w14:textId="63C480DF" w:rsidR="006F3905" w:rsidRPr="006F3905" w:rsidRDefault="007B0FF2" w:rsidP="006F3905">
      <w:pPr>
        <w:spacing w:after="120"/>
        <w:ind w:left="720" w:hanging="720"/>
        <w:rPr>
          <w:rFonts w:cs="Arial"/>
          <w:szCs w:val="16"/>
        </w:rPr>
      </w:pPr>
      <w:r w:rsidRPr="00A67CEE">
        <w:rPr>
          <w:rFonts w:cs="Arial"/>
          <w:bCs/>
          <w:szCs w:val="16"/>
        </w:rPr>
        <w:t xml:space="preserve">Step 2: </w:t>
      </w:r>
      <w:r w:rsidRPr="006F3905">
        <w:rPr>
          <w:rFonts w:cs="Arial"/>
          <w:szCs w:val="16"/>
        </w:rPr>
        <w:t xml:space="preserve">Compute the standard error of the difference in proportions using the following formula which </w:t>
      </w:r>
      <w:proofErr w:type="gramStart"/>
      <w:r w:rsidRPr="006F3905">
        <w:rPr>
          <w:rFonts w:cs="Arial"/>
          <w:szCs w:val="16"/>
        </w:rPr>
        <w:t>takes into account</w:t>
      </w:r>
      <w:proofErr w:type="gramEnd"/>
      <w:r w:rsidRPr="006F3905">
        <w:rPr>
          <w:rFonts w:cs="Arial"/>
          <w:szCs w:val="16"/>
        </w:rPr>
        <w:t xml:space="preserve"> the value of the summary statement from both years and the number of children that the summary statement is based on</w:t>
      </w:r>
    </w:p>
    <w:p w14:paraId="54D4DC4A" w14:textId="7664AE56" w:rsidR="007B0FF2" w:rsidRPr="006F3905" w:rsidRDefault="006F3905" w:rsidP="006F3905">
      <w:pPr>
        <w:ind w:left="720"/>
        <w:rPr>
          <w:rFonts w:cs="Arial"/>
          <w:color w:val="000000" w:themeColor="text1"/>
          <w:szCs w:val="16"/>
        </w:rPr>
      </w:pPr>
      <w:proofErr w:type="gramStart"/>
      <w:r w:rsidRPr="0001214A">
        <w:rPr>
          <w:rFonts w:cs="Arial"/>
          <w:color w:val="000000" w:themeColor="text1"/>
          <w:szCs w:val="16"/>
        </w:rPr>
        <w:t>Sqrt[</w:t>
      </w:r>
      <w:proofErr w:type="gramEnd"/>
      <w:r w:rsidRPr="0001214A">
        <w:rPr>
          <w:rFonts w:cs="Arial"/>
          <w:color w:val="000000" w:themeColor="text1"/>
          <w:szCs w:val="16"/>
        </w:rPr>
        <w:t>([FFY202</w:t>
      </w:r>
      <w:r w:rsidR="00AB65CA">
        <w:rPr>
          <w:rFonts w:cs="Arial"/>
          <w:color w:val="000000" w:themeColor="text1"/>
          <w:szCs w:val="16"/>
        </w:rPr>
        <w:t>1</w:t>
      </w:r>
      <w:r w:rsidRPr="0001214A">
        <w:rPr>
          <w:rFonts w:cs="Arial"/>
          <w:color w:val="000000" w:themeColor="text1"/>
          <w:szCs w:val="16"/>
        </w:rPr>
        <w:t>% * (1-FFY202</w:t>
      </w:r>
      <w:r w:rsidR="00AB65CA">
        <w:rPr>
          <w:rFonts w:cs="Arial"/>
          <w:color w:val="000000" w:themeColor="text1"/>
          <w:szCs w:val="16"/>
        </w:rPr>
        <w:t>1</w:t>
      </w:r>
      <w:r w:rsidRPr="0001214A">
        <w:rPr>
          <w:rFonts w:cs="Arial"/>
          <w:color w:val="000000" w:themeColor="text1"/>
          <w:szCs w:val="16"/>
        </w:rPr>
        <w:t>%)] / FFY202</w:t>
      </w:r>
      <w:r w:rsidR="00AB65CA">
        <w:rPr>
          <w:rFonts w:cs="Arial"/>
          <w:color w:val="000000" w:themeColor="text1"/>
          <w:szCs w:val="16"/>
        </w:rPr>
        <w:t>1</w:t>
      </w:r>
      <w:r w:rsidRPr="0001214A">
        <w:rPr>
          <w:rFonts w:cs="Arial"/>
          <w:color w:val="000000" w:themeColor="text1"/>
          <w:szCs w:val="16"/>
        </w:rPr>
        <w:t>N) + ([FFY202</w:t>
      </w:r>
      <w:r w:rsidR="00AB65CA">
        <w:rPr>
          <w:rFonts w:cs="Arial"/>
          <w:color w:val="000000" w:themeColor="text1"/>
          <w:szCs w:val="16"/>
        </w:rPr>
        <w:t>2</w:t>
      </w:r>
      <w:r w:rsidRPr="0001214A">
        <w:rPr>
          <w:rFonts w:cs="Arial"/>
          <w:color w:val="000000" w:themeColor="text1"/>
          <w:szCs w:val="16"/>
        </w:rPr>
        <w:t>% * (1-FFY202</w:t>
      </w:r>
      <w:r w:rsidR="00AB65CA">
        <w:rPr>
          <w:rFonts w:cs="Arial"/>
          <w:color w:val="000000" w:themeColor="text1"/>
          <w:szCs w:val="16"/>
        </w:rPr>
        <w:t>2</w:t>
      </w:r>
      <w:r w:rsidRPr="0001214A">
        <w:rPr>
          <w:rFonts w:cs="Arial"/>
          <w:color w:val="000000" w:themeColor="text1"/>
          <w:szCs w:val="16"/>
        </w:rPr>
        <w:t>%)] / FFY202</w:t>
      </w:r>
      <w:r w:rsidR="00AB65CA">
        <w:rPr>
          <w:rFonts w:cs="Arial"/>
          <w:color w:val="000000" w:themeColor="text1"/>
          <w:szCs w:val="16"/>
        </w:rPr>
        <w:t>2</w:t>
      </w:r>
      <w:r w:rsidRPr="0001214A">
        <w:rPr>
          <w:rFonts w:cs="Arial"/>
          <w:color w:val="000000" w:themeColor="text1"/>
          <w:szCs w:val="16"/>
        </w:rPr>
        <w:t>N)] = Standard Error of Difference in Proportions</w:t>
      </w:r>
    </w:p>
    <w:p w14:paraId="6B46120F" w14:textId="77777777" w:rsidR="006F3905" w:rsidRPr="0001214A" w:rsidRDefault="006F3905" w:rsidP="0001214A">
      <w:pPr>
        <w:ind w:left="720"/>
        <w:rPr>
          <w:rFonts w:cs="Arial"/>
          <w:color w:val="000000" w:themeColor="text1"/>
          <w:szCs w:val="16"/>
        </w:rPr>
      </w:pPr>
    </w:p>
    <w:p w14:paraId="0513F5FA" w14:textId="77777777" w:rsidR="007B0FF2" w:rsidRPr="00A67CEE" w:rsidRDefault="007B0FF2" w:rsidP="007B0FF2">
      <w:pPr>
        <w:rPr>
          <w:rFonts w:cs="Arial"/>
          <w:bCs/>
          <w:szCs w:val="16"/>
        </w:rPr>
      </w:pPr>
      <w:r w:rsidRPr="006F3905">
        <w:rPr>
          <w:rFonts w:cs="Arial"/>
          <w:bCs/>
          <w:szCs w:val="16"/>
        </w:rPr>
        <w:t xml:space="preserve">Step 3: The difference in proportions is then divided by the standard error of the difference to compute a z score. </w:t>
      </w:r>
    </w:p>
    <w:p w14:paraId="69D02B4B" w14:textId="77777777" w:rsidR="007B0FF2" w:rsidRPr="00A67CEE" w:rsidRDefault="007B0FF2" w:rsidP="007B0FF2">
      <w:pPr>
        <w:ind w:firstLine="720"/>
        <w:rPr>
          <w:rFonts w:cs="Arial"/>
          <w:bCs/>
          <w:szCs w:val="16"/>
        </w:rPr>
      </w:pPr>
      <w:r w:rsidRPr="00A67CEE">
        <w:rPr>
          <w:rFonts w:cs="Arial"/>
          <w:bCs/>
          <w:szCs w:val="16"/>
        </w:rPr>
        <w:t>Difference in proportions /standard error of the difference in proportions = z score </w:t>
      </w:r>
    </w:p>
    <w:p w14:paraId="7219D447" w14:textId="77777777" w:rsidR="007B0FF2" w:rsidRDefault="007B0FF2" w:rsidP="007B0FF2">
      <w:pPr>
        <w:rPr>
          <w:rFonts w:cs="Arial"/>
          <w:bCs/>
          <w:szCs w:val="16"/>
        </w:rPr>
      </w:pPr>
    </w:p>
    <w:p w14:paraId="63F1A78B" w14:textId="77777777" w:rsidR="007B0FF2" w:rsidRPr="00A67CEE" w:rsidRDefault="007B0FF2" w:rsidP="007B0FF2">
      <w:pPr>
        <w:rPr>
          <w:rFonts w:cs="Arial"/>
          <w:bCs/>
          <w:szCs w:val="16"/>
        </w:rPr>
      </w:pPr>
      <w:r w:rsidRPr="00A67CEE">
        <w:rPr>
          <w:rFonts w:cs="Arial"/>
          <w:bCs/>
          <w:szCs w:val="16"/>
        </w:rPr>
        <w:t xml:space="preserve">Step 4: The statistical significance of the z score is located within a table and the </w:t>
      </w:r>
      <w:r w:rsidRPr="00A67CEE">
        <w:rPr>
          <w:rFonts w:cs="Arial"/>
          <w:bCs/>
          <w:i/>
          <w:iCs/>
          <w:szCs w:val="16"/>
        </w:rPr>
        <w:t>p</w:t>
      </w:r>
      <w:r w:rsidRPr="00A67CEE">
        <w:rPr>
          <w:rFonts w:cs="Arial"/>
          <w:bCs/>
          <w:szCs w:val="16"/>
        </w:rPr>
        <w:t xml:space="preserve"> value is determined. </w:t>
      </w:r>
    </w:p>
    <w:p w14:paraId="48B57429" w14:textId="77777777" w:rsidR="007B0FF2" w:rsidRDefault="007B0FF2" w:rsidP="007B0FF2">
      <w:pPr>
        <w:rPr>
          <w:rFonts w:cs="Arial"/>
          <w:bCs/>
          <w:szCs w:val="16"/>
        </w:rPr>
      </w:pPr>
    </w:p>
    <w:p w14:paraId="74361B9D" w14:textId="77777777" w:rsidR="007B0FF2" w:rsidRDefault="007B0FF2" w:rsidP="007B0FF2">
      <w:pPr>
        <w:rPr>
          <w:rFonts w:cs="Arial"/>
          <w:bCs/>
          <w:szCs w:val="16"/>
        </w:rPr>
      </w:pPr>
      <w:r w:rsidRPr="00A67CEE">
        <w:rPr>
          <w:rFonts w:cs="Arial"/>
          <w:bCs/>
          <w:szCs w:val="16"/>
        </w:rPr>
        <w:t xml:space="preserve">Step 5: The difference in proportions is coded as statistically significant if the </w:t>
      </w:r>
      <w:r w:rsidRPr="00A67CEE">
        <w:rPr>
          <w:rFonts w:cs="Arial"/>
          <w:bCs/>
          <w:i/>
          <w:iCs/>
          <w:szCs w:val="16"/>
        </w:rPr>
        <w:t xml:space="preserve">p </w:t>
      </w:r>
      <w:r w:rsidRPr="00A67CEE">
        <w:rPr>
          <w:rFonts w:cs="Arial"/>
          <w:bCs/>
          <w:szCs w:val="16"/>
        </w:rPr>
        <w:t>value is it is less than or equal to .05.</w:t>
      </w:r>
    </w:p>
    <w:p w14:paraId="5ACE4441" w14:textId="77777777" w:rsidR="007B0FF2" w:rsidRPr="00333DBB" w:rsidRDefault="007B0FF2" w:rsidP="007B0FF2">
      <w:pPr>
        <w:rPr>
          <w:rFonts w:cs="Arial"/>
          <w:bCs/>
          <w:sz w:val="14"/>
          <w:szCs w:val="14"/>
        </w:rPr>
      </w:pPr>
    </w:p>
    <w:p w14:paraId="361D52F2" w14:textId="77777777" w:rsidR="007B0FF2" w:rsidRPr="00333DBB" w:rsidRDefault="007B0FF2" w:rsidP="007B0FF2">
      <w:pPr>
        <w:spacing w:after="0"/>
        <w:ind w:left="720" w:hanging="720"/>
        <w:rPr>
          <w:szCs w:val="16"/>
        </w:rPr>
      </w:pPr>
      <w:r w:rsidRPr="00333DBB">
        <w:rPr>
          <w:szCs w:val="16"/>
        </w:rPr>
        <w:t>Step 6: Information about the statistical significance of the change and the direction of the change are combined to arrive at a score for the summary statement using the following criteria</w:t>
      </w:r>
    </w:p>
    <w:p w14:paraId="1E03E5E2" w14:textId="7BAE10B7" w:rsidR="007B0FF2" w:rsidRPr="00333DBB" w:rsidRDefault="007B0FF2" w:rsidP="007B0FF2">
      <w:pPr>
        <w:spacing w:after="0"/>
        <w:ind w:left="720"/>
        <w:rPr>
          <w:szCs w:val="16"/>
        </w:rPr>
      </w:pPr>
      <w:r w:rsidRPr="00333DBB">
        <w:rPr>
          <w:szCs w:val="16"/>
        </w:rPr>
        <w:t>0 = statistically significant decrease from FFY 2021 to FFY 2022</w:t>
      </w:r>
    </w:p>
    <w:p w14:paraId="1696CC05" w14:textId="77777777" w:rsidR="007B0FF2" w:rsidRPr="00333DBB" w:rsidRDefault="007B0FF2" w:rsidP="007B0FF2">
      <w:pPr>
        <w:spacing w:after="0"/>
        <w:ind w:left="720"/>
        <w:rPr>
          <w:szCs w:val="16"/>
        </w:rPr>
      </w:pPr>
      <w:r w:rsidRPr="00333DBB">
        <w:rPr>
          <w:szCs w:val="16"/>
        </w:rPr>
        <w:t>1 = No statistically significant change</w:t>
      </w:r>
    </w:p>
    <w:p w14:paraId="321DA925" w14:textId="037058BF" w:rsidR="007B0FF2" w:rsidRPr="00333DBB" w:rsidRDefault="007B0FF2" w:rsidP="007B0FF2">
      <w:pPr>
        <w:ind w:left="720"/>
        <w:rPr>
          <w:szCs w:val="16"/>
        </w:rPr>
      </w:pPr>
      <w:r w:rsidRPr="00333DBB">
        <w:rPr>
          <w:szCs w:val="16"/>
        </w:rPr>
        <w:t>2= statistically significant increase from FFY 2021 to FFY 2022</w:t>
      </w:r>
    </w:p>
    <w:p w14:paraId="36EEB54D" w14:textId="77777777" w:rsidR="007B0FF2" w:rsidRDefault="007B0FF2" w:rsidP="007B0FF2">
      <w:pPr>
        <w:rPr>
          <w:rFonts w:cs="Arial"/>
          <w:bCs/>
          <w:szCs w:val="16"/>
        </w:rPr>
      </w:pPr>
    </w:p>
    <w:p w14:paraId="7EAE2209" w14:textId="77777777" w:rsidR="007B0FF2" w:rsidRPr="00333DBB" w:rsidRDefault="007B0FF2" w:rsidP="007B0FF2">
      <w:pPr>
        <w:spacing w:after="120"/>
        <w:ind w:left="720" w:hanging="720"/>
        <w:rPr>
          <w:szCs w:val="16"/>
        </w:rPr>
      </w:pPr>
      <w:r w:rsidRPr="00333DBB">
        <w:rPr>
          <w:szCs w:val="16"/>
        </w:rPr>
        <w:t xml:space="preserve">Step 7: The score for each summary statement and outcome is summed to create a total score with a minimum of 0 and a maximum of 12. The score for the test of proportional difference is assigned a score for the </w:t>
      </w:r>
      <w:proofErr w:type="gramStart"/>
      <w:r w:rsidRPr="00333DBB">
        <w:rPr>
          <w:szCs w:val="16"/>
        </w:rPr>
        <w:t>Indicator</w:t>
      </w:r>
      <w:proofErr w:type="gramEnd"/>
      <w:r w:rsidRPr="00333DBB">
        <w:rPr>
          <w:szCs w:val="16"/>
        </w:rPr>
        <w:t xml:space="preserve"> 3 Overall Performance Change Score based on the following cut points:</w:t>
      </w:r>
    </w:p>
    <w:p w14:paraId="642FF550" w14:textId="77777777" w:rsidR="00A67CEE" w:rsidRPr="001E51FC" w:rsidRDefault="00A67CEE" w:rsidP="001E51FC">
      <w:pPr>
        <w:rPr>
          <w:rFonts w:cs="Arial"/>
          <w:b/>
          <w:szCs w:val="16"/>
        </w:rPr>
      </w:pPr>
    </w:p>
    <w:tbl>
      <w:tblPr>
        <w:tblStyle w:val="TableGrid1"/>
        <w:tblW w:w="5010" w:type="pct"/>
        <w:tblLook w:val="04A0" w:firstRow="1" w:lastRow="0" w:firstColumn="1" w:lastColumn="0" w:noHBand="0" w:noVBand="1"/>
        <w:tblCaption w:val="CAPPDSCR"/>
        <w:tblDescription w:val="Indicator 2 Overall Performance Change Score"/>
      </w:tblPr>
      <w:tblGrid>
        <w:gridCol w:w="3955"/>
        <w:gridCol w:w="6857"/>
      </w:tblGrid>
      <w:tr w:rsidR="001E51FC" w:rsidRPr="001E51FC" w14:paraId="37490DAE" w14:textId="77777777" w:rsidTr="00B05769">
        <w:tc>
          <w:tcPr>
            <w:tcW w:w="1829" w:type="pct"/>
            <w:hideMark/>
          </w:tcPr>
          <w:p w14:paraId="0865BD08" w14:textId="77777777" w:rsidR="001E51FC" w:rsidRPr="001E51FC" w:rsidRDefault="001E51FC" w:rsidP="001E51FC">
            <w:pPr>
              <w:rPr>
                <w:rFonts w:cs="Arial"/>
                <w:b/>
                <w:szCs w:val="16"/>
              </w:rPr>
            </w:pPr>
            <w:r w:rsidRPr="001E51FC">
              <w:rPr>
                <w:rFonts w:cs="Arial"/>
                <w:b/>
                <w:szCs w:val="16"/>
              </w:rPr>
              <w:t>Indicator 3 Overall Performance Change Score</w:t>
            </w:r>
          </w:p>
        </w:tc>
        <w:tc>
          <w:tcPr>
            <w:tcW w:w="3171" w:type="pct"/>
            <w:hideMark/>
          </w:tcPr>
          <w:p w14:paraId="42119334" w14:textId="77777777" w:rsidR="001E51FC" w:rsidRPr="001E51FC" w:rsidRDefault="001E51FC" w:rsidP="001E51FC">
            <w:pPr>
              <w:rPr>
                <w:rFonts w:cs="Arial"/>
                <w:b/>
                <w:szCs w:val="16"/>
              </w:rPr>
            </w:pPr>
            <w:r w:rsidRPr="001E51FC">
              <w:rPr>
                <w:rFonts w:cs="Arial"/>
                <w:b/>
                <w:szCs w:val="16"/>
              </w:rPr>
              <w:t>Cut Points for Change Over Time in Summary Statements Total Score</w:t>
            </w:r>
          </w:p>
        </w:tc>
      </w:tr>
      <w:tr w:rsidR="001E51FC" w:rsidRPr="001E51FC" w14:paraId="40A5B386" w14:textId="77777777" w:rsidTr="00B05769">
        <w:tc>
          <w:tcPr>
            <w:tcW w:w="1829" w:type="pct"/>
            <w:noWrap/>
            <w:hideMark/>
          </w:tcPr>
          <w:p w14:paraId="089E933F" w14:textId="77777777" w:rsidR="001E51FC" w:rsidRPr="001E51FC" w:rsidRDefault="001E51FC" w:rsidP="00B05769">
            <w:pPr>
              <w:jc w:val="center"/>
              <w:rPr>
                <w:rFonts w:cs="Arial"/>
                <w:b/>
                <w:szCs w:val="16"/>
              </w:rPr>
            </w:pPr>
            <w:r w:rsidRPr="001E51FC">
              <w:rPr>
                <w:rFonts w:cs="Arial"/>
                <w:b/>
                <w:szCs w:val="16"/>
              </w:rPr>
              <w:t>0</w:t>
            </w:r>
          </w:p>
        </w:tc>
        <w:tc>
          <w:tcPr>
            <w:tcW w:w="3171" w:type="pct"/>
            <w:noWrap/>
            <w:hideMark/>
          </w:tcPr>
          <w:p w14:paraId="468392DB" w14:textId="77777777" w:rsidR="001E51FC" w:rsidRPr="001E51FC" w:rsidRDefault="001E51FC" w:rsidP="001E51FC">
            <w:pPr>
              <w:rPr>
                <w:rFonts w:cs="Arial"/>
                <w:bCs/>
                <w:szCs w:val="16"/>
              </w:rPr>
            </w:pPr>
            <w:r w:rsidRPr="001E51FC">
              <w:rPr>
                <w:rFonts w:cs="Arial"/>
                <w:bCs/>
                <w:szCs w:val="16"/>
              </w:rPr>
              <w:t>Lowest score through 3</w:t>
            </w:r>
          </w:p>
        </w:tc>
      </w:tr>
      <w:tr w:rsidR="001E51FC" w:rsidRPr="001E51FC" w14:paraId="07BFA187" w14:textId="77777777" w:rsidTr="00B05769">
        <w:tc>
          <w:tcPr>
            <w:tcW w:w="1829" w:type="pct"/>
            <w:noWrap/>
            <w:hideMark/>
          </w:tcPr>
          <w:p w14:paraId="2FE4FEF6" w14:textId="77777777" w:rsidR="001E51FC" w:rsidRPr="001E51FC" w:rsidRDefault="001E51FC" w:rsidP="00B05769">
            <w:pPr>
              <w:jc w:val="center"/>
              <w:rPr>
                <w:rFonts w:cs="Arial"/>
                <w:b/>
                <w:szCs w:val="16"/>
              </w:rPr>
            </w:pPr>
            <w:r w:rsidRPr="001E51FC">
              <w:rPr>
                <w:rFonts w:cs="Arial"/>
                <w:b/>
                <w:szCs w:val="16"/>
              </w:rPr>
              <w:t>1</w:t>
            </w:r>
          </w:p>
        </w:tc>
        <w:tc>
          <w:tcPr>
            <w:tcW w:w="3171" w:type="pct"/>
            <w:noWrap/>
            <w:hideMark/>
          </w:tcPr>
          <w:p w14:paraId="7F15F0B1" w14:textId="77777777" w:rsidR="001E51FC" w:rsidRPr="001E51FC" w:rsidRDefault="001E51FC" w:rsidP="001E51FC">
            <w:pPr>
              <w:rPr>
                <w:rFonts w:cs="Arial"/>
                <w:bCs/>
                <w:szCs w:val="16"/>
              </w:rPr>
            </w:pPr>
            <w:r w:rsidRPr="001E51FC">
              <w:rPr>
                <w:rFonts w:cs="Arial"/>
                <w:bCs/>
                <w:szCs w:val="16"/>
              </w:rPr>
              <w:t>4 through 7</w:t>
            </w:r>
          </w:p>
        </w:tc>
      </w:tr>
      <w:tr w:rsidR="001E51FC" w:rsidRPr="001E51FC" w14:paraId="0EA2453D" w14:textId="77777777" w:rsidTr="00B05769">
        <w:tc>
          <w:tcPr>
            <w:tcW w:w="1829" w:type="pct"/>
            <w:noWrap/>
            <w:hideMark/>
          </w:tcPr>
          <w:p w14:paraId="5DA468D2" w14:textId="77777777" w:rsidR="001E51FC" w:rsidRPr="001E51FC" w:rsidRDefault="001E51FC" w:rsidP="00B05769">
            <w:pPr>
              <w:jc w:val="center"/>
              <w:rPr>
                <w:rFonts w:cs="Arial"/>
                <w:b/>
                <w:szCs w:val="16"/>
              </w:rPr>
            </w:pPr>
            <w:r w:rsidRPr="001E51FC">
              <w:rPr>
                <w:rFonts w:cs="Arial"/>
                <w:b/>
                <w:szCs w:val="16"/>
              </w:rPr>
              <w:t>2</w:t>
            </w:r>
          </w:p>
        </w:tc>
        <w:tc>
          <w:tcPr>
            <w:tcW w:w="3171" w:type="pct"/>
            <w:noWrap/>
            <w:hideMark/>
          </w:tcPr>
          <w:p w14:paraId="075623A6" w14:textId="77777777" w:rsidR="001E51FC" w:rsidRPr="001E51FC" w:rsidRDefault="001E51FC" w:rsidP="001E51FC">
            <w:pPr>
              <w:rPr>
                <w:rFonts w:cs="Arial"/>
                <w:bCs/>
                <w:szCs w:val="16"/>
              </w:rPr>
            </w:pPr>
            <w:r w:rsidRPr="001E51FC">
              <w:rPr>
                <w:rFonts w:cs="Arial"/>
                <w:bCs/>
                <w:szCs w:val="16"/>
              </w:rPr>
              <w:t>8 through highest</w:t>
            </w:r>
          </w:p>
        </w:tc>
      </w:tr>
    </w:tbl>
    <w:p w14:paraId="088D50B4" w14:textId="36839911" w:rsidR="002E52E1" w:rsidRDefault="002E52E1" w:rsidP="0081611B">
      <w:pPr>
        <w:rPr>
          <w:rFonts w:cs="Arial"/>
          <w:b/>
          <w:szCs w:val="16"/>
        </w:rPr>
      </w:pPr>
    </w:p>
    <w:p w14:paraId="719400B5" w14:textId="77777777" w:rsidR="002E52E1" w:rsidRDefault="002E52E1">
      <w:pPr>
        <w:spacing w:before="0" w:after="200" w:line="276" w:lineRule="auto"/>
        <w:rPr>
          <w:rFonts w:cs="Arial"/>
          <w:b/>
          <w:szCs w:val="16"/>
        </w:rPr>
      </w:pPr>
      <w:r>
        <w:rPr>
          <w:rFonts w:cs="Arial"/>
          <w:b/>
          <w:szCs w:val="16"/>
        </w:rPr>
        <w:br w:type="page"/>
      </w:r>
    </w:p>
    <w:p w14:paraId="15033136" w14:textId="77777777" w:rsidR="002163B7" w:rsidRDefault="002163B7" w:rsidP="0081611B">
      <w:pPr>
        <w:rPr>
          <w:rFonts w:cs="Arial"/>
          <w:b/>
          <w:szCs w:val="16"/>
        </w:rPr>
      </w:pPr>
    </w:p>
    <w:tbl>
      <w:tblPr>
        <w:tblStyle w:val="TableGrid1"/>
        <w:tblW w:w="5186" w:type="pct"/>
        <w:tblLayout w:type="fixed"/>
        <w:tblLook w:val="04A0" w:firstRow="1" w:lastRow="0" w:firstColumn="1" w:lastColumn="0" w:noHBand="0" w:noVBand="1"/>
        <w:tblCaption w:val="C03SSCOYTYSTAT"/>
        <w:tblDescription w:val=" "/>
      </w:tblPr>
      <w:tblGrid>
        <w:gridCol w:w="1304"/>
        <w:gridCol w:w="915"/>
        <w:gridCol w:w="1009"/>
        <w:gridCol w:w="915"/>
        <w:gridCol w:w="1009"/>
        <w:gridCol w:w="1296"/>
        <w:gridCol w:w="864"/>
        <w:gridCol w:w="864"/>
        <w:gridCol w:w="864"/>
        <w:gridCol w:w="864"/>
        <w:gridCol w:w="1287"/>
      </w:tblGrid>
      <w:tr w:rsidR="007B0FF2" w:rsidRPr="002163B7" w14:paraId="67AD5D58" w14:textId="77777777" w:rsidTr="007B0FF2">
        <w:trPr>
          <w:tblHeader/>
        </w:trPr>
        <w:tc>
          <w:tcPr>
            <w:tcW w:w="582" w:type="pct"/>
          </w:tcPr>
          <w:p w14:paraId="5023293D" w14:textId="3A8A1044" w:rsidR="002163B7" w:rsidRPr="002163B7" w:rsidRDefault="002163B7" w:rsidP="002163B7">
            <w:pPr>
              <w:rPr>
                <w:rFonts w:cs="Arial"/>
                <w:b/>
                <w:bCs/>
                <w:szCs w:val="16"/>
              </w:rPr>
            </w:pPr>
            <w:r w:rsidRPr="002163B7">
              <w:rPr>
                <w:rFonts w:cs="Arial"/>
                <w:b/>
                <w:bCs/>
                <w:szCs w:val="16"/>
              </w:rPr>
              <w:t>Summary Statement/ Child Outcome</w:t>
            </w:r>
          </w:p>
        </w:tc>
        <w:tc>
          <w:tcPr>
            <w:tcW w:w="409" w:type="pct"/>
          </w:tcPr>
          <w:p w14:paraId="6FF1FC19" w14:textId="08094399" w:rsidR="002163B7" w:rsidRPr="002163B7" w:rsidRDefault="002163B7" w:rsidP="002163B7">
            <w:pPr>
              <w:rPr>
                <w:rFonts w:cs="Arial"/>
                <w:b/>
                <w:bCs/>
                <w:szCs w:val="16"/>
              </w:rPr>
            </w:pPr>
            <w:r w:rsidRPr="002163B7">
              <w:rPr>
                <w:rFonts w:cs="Arial"/>
                <w:b/>
                <w:bCs/>
                <w:szCs w:val="16"/>
              </w:rPr>
              <w:t>FFY 2021 N</w:t>
            </w:r>
          </w:p>
        </w:tc>
        <w:tc>
          <w:tcPr>
            <w:tcW w:w="451" w:type="pct"/>
          </w:tcPr>
          <w:p w14:paraId="31613D59" w14:textId="6672FE80" w:rsidR="002163B7" w:rsidRPr="002163B7" w:rsidRDefault="002163B7" w:rsidP="002163B7">
            <w:pPr>
              <w:rPr>
                <w:rFonts w:cs="Arial"/>
                <w:b/>
                <w:bCs/>
                <w:szCs w:val="16"/>
              </w:rPr>
            </w:pPr>
            <w:r w:rsidRPr="002163B7">
              <w:rPr>
                <w:rFonts w:cs="Arial"/>
                <w:b/>
                <w:bCs/>
                <w:szCs w:val="16"/>
              </w:rPr>
              <w:t>FFY 2021 Summary Statement (%)</w:t>
            </w:r>
          </w:p>
        </w:tc>
        <w:tc>
          <w:tcPr>
            <w:tcW w:w="409" w:type="pct"/>
          </w:tcPr>
          <w:p w14:paraId="7A7B5951" w14:textId="649A5DFF" w:rsidR="002163B7" w:rsidRPr="002163B7" w:rsidRDefault="002163B7" w:rsidP="002163B7">
            <w:pPr>
              <w:rPr>
                <w:rFonts w:cs="Arial"/>
                <w:b/>
                <w:bCs/>
                <w:szCs w:val="16"/>
              </w:rPr>
            </w:pPr>
            <w:r w:rsidRPr="002163B7">
              <w:rPr>
                <w:rFonts w:cs="Arial"/>
                <w:b/>
                <w:bCs/>
                <w:szCs w:val="16"/>
              </w:rPr>
              <w:t>FFY 2022 N</w:t>
            </w:r>
          </w:p>
        </w:tc>
        <w:tc>
          <w:tcPr>
            <w:tcW w:w="451" w:type="pct"/>
          </w:tcPr>
          <w:p w14:paraId="691E7E65" w14:textId="1114F640" w:rsidR="002163B7" w:rsidRPr="002163B7" w:rsidRDefault="002163B7" w:rsidP="002163B7">
            <w:pPr>
              <w:rPr>
                <w:rFonts w:cs="Arial"/>
                <w:b/>
                <w:bCs/>
                <w:szCs w:val="16"/>
              </w:rPr>
            </w:pPr>
            <w:r w:rsidRPr="002163B7">
              <w:rPr>
                <w:rFonts w:cs="Arial"/>
                <w:b/>
                <w:bCs/>
                <w:szCs w:val="16"/>
              </w:rPr>
              <w:t>FFY 2022 Summary Statement (%)</w:t>
            </w:r>
          </w:p>
        </w:tc>
        <w:tc>
          <w:tcPr>
            <w:tcW w:w="579" w:type="pct"/>
          </w:tcPr>
          <w:p w14:paraId="51E3E034" w14:textId="77777777" w:rsidR="002163B7" w:rsidRPr="002163B7" w:rsidRDefault="002163B7" w:rsidP="002163B7">
            <w:pPr>
              <w:rPr>
                <w:rFonts w:cs="Arial"/>
                <w:b/>
                <w:bCs/>
                <w:szCs w:val="16"/>
              </w:rPr>
            </w:pPr>
            <w:r w:rsidRPr="002163B7">
              <w:rPr>
                <w:rFonts w:cs="Arial"/>
                <w:b/>
                <w:bCs/>
                <w:szCs w:val="16"/>
              </w:rPr>
              <w:t>Difference between Percentages (%)</w:t>
            </w:r>
          </w:p>
        </w:tc>
        <w:tc>
          <w:tcPr>
            <w:tcW w:w="386" w:type="pct"/>
          </w:tcPr>
          <w:p w14:paraId="2E1CF9DE" w14:textId="77777777" w:rsidR="002163B7" w:rsidRPr="002163B7" w:rsidRDefault="002163B7" w:rsidP="002163B7">
            <w:pPr>
              <w:rPr>
                <w:rFonts w:cs="Arial"/>
                <w:b/>
                <w:bCs/>
                <w:szCs w:val="16"/>
              </w:rPr>
            </w:pPr>
            <w:r w:rsidRPr="002163B7">
              <w:rPr>
                <w:rFonts w:cs="Arial"/>
                <w:b/>
                <w:bCs/>
                <w:szCs w:val="16"/>
              </w:rPr>
              <w:t>Std Error</w:t>
            </w:r>
          </w:p>
        </w:tc>
        <w:tc>
          <w:tcPr>
            <w:tcW w:w="386" w:type="pct"/>
          </w:tcPr>
          <w:p w14:paraId="28AA7E5C" w14:textId="77777777" w:rsidR="002163B7" w:rsidRPr="002163B7" w:rsidRDefault="002163B7" w:rsidP="002163B7">
            <w:pPr>
              <w:rPr>
                <w:rFonts w:cs="Arial"/>
                <w:b/>
                <w:bCs/>
                <w:szCs w:val="16"/>
              </w:rPr>
            </w:pPr>
            <w:r w:rsidRPr="002163B7">
              <w:rPr>
                <w:rFonts w:cs="Arial"/>
                <w:b/>
                <w:bCs/>
                <w:szCs w:val="16"/>
              </w:rPr>
              <w:t>z value</w:t>
            </w:r>
          </w:p>
        </w:tc>
        <w:tc>
          <w:tcPr>
            <w:tcW w:w="386" w:type="pct"/>
          </w:tcPr>
          <w:p w14:paraId="2FBE588E" w14:textId="77777777" w:rsidR="002163B7" w:rsidRPr="002163B7" w:rsidRDefault="002163B7" w:rsidP="002163B7">
            <w:pPr>
              <w:rPr>
                <w:rFonts w:cs="Arial"/>
                <w:b/>
                <w:bCs/>
                <w:szCs w:val="16"/>
              </w:rPr>
            </w:pPr>
            <w:r w:rsidRPr="002163B7">
              <w:rPr>
                <w:rFonts w:cs="Arial"/>
                <w:b/>
                <w:bCs/>
                <w:szCs w:val="16"/>
              </w:rPr>
              <w:t>p-value</w:t>
            </w:r>
          </w:p>
        </w:tc>
        <w:tc>
          <w:tcPr>
            <w:tcW w:w="386" w:type="pct"/>
          </w:tcPr>
          <w:p w14:paraId="3457FDDA" w14:textId="77777777" w:rsidR="002163B7" w:rsidRPr="002163B7" w:rsidRDefault="002163B7" w:rsidP="002163B7">
            <w:pPr>
              <w:rPr>
                <w:rFonts w:cs="Arial"/>
                <w:b/>
                <w:bCs/>
                <w:szCs w:val="16"/>
              </w:rPr>
            </w:pPr>
            <w:r w:rsidRPr="002163B7">
              <w:rPr>
                <w:rFonts w:cs="Arial"/>
                <w:b/>
                <w:bCs/>
                <w:szCs w:val="16"/>
              </w:rPr>
              <w:t>p&lt;=.05</w:t>
            </w:r>
          </w:p>
        </w:tc>
        <w:tc>
          <w:tcPr>
            <w:tcW w:w="575" w:type="pct"/>
          </w:tcPr>
          <w:p w14:paraId="636653E5" w14:textId="5F567C41" w:rsidR="002163B7" w:rsidRPr="002163B7" w:rsidRDefault="002163B7" w:rsidP="002163B7">
            <w:pPr>
              <w:rPr>
                <w:rFonts w:cs="Arial"/>
                <w:b/>
                <w:bCs/>
                <w:szCs w:val="16"/>
              </w:rPr>
            </w:pPr>
            <w:r w:rsidRPr="002163B7">
              <w:rPr>
                <w:rFonts w:cs="Arial"/>
                <w:b/>
                <w:bCs/>
                <w:szCs w:val="16"/>
              </w:rPr>
              <w:t>Score: 0 = significant decrease; 1 = no significant change; 2 = significant increase</w:t>
            </w:r>
          </w:p>
        </w:tc>
      </w:tr>
      <w:tr w:rsidR="007B0FF2" w:rsidRPr="002163B7" w14:paraId="562524D0" w14:textId="77777777" w:rsidTr="007B0FF2">
        <w:tc>
          <w:tcPr>
            <w:tcW w:w="582" w:type="pct"/>
          </w:tcPr>
          <w:p w14:paraId="00E2F20F" w14:textId="77777777" w:rsidR="002163B7" w:rsidRPr="002163B7" w:rsidRDefault="002163B7" w:rsidP="002163B7">
            <w:pPr>
              <w:rPr>
                <w:rFonts w:cs="Arial"/>
                <w:b/>
                <w:bCs/>
                <w:szCs w:val="16"/>
              </w:rPr>
            </w:pPr>
            <w:r w:rsidRPr="002163B7">
              <w:rPr>
                <w:rFonts w:cs="Arial"/>
                <w:b/>
                <w:bCs/>
                <w:szCs w:val="16"/>
              </w:rPr>
              <w:t>SS1/Outcome A: Positive Social Relationships</w:t>
            </w:r>
          </w:p>
        </w:tc>
        <w:tc>
          <w:tcPr>
            <w:tcW w:w="409" w:type="pct"/>
          </w:tcPr>
          <w:p w14:paraId="1D6CCAF2" w14:textId="7D18DEAE" w:rsidR="002163B7" w:rsidRPr="002163B7" w:rsidRDefault="002163B7" w:rsidP="002163B7">
            <w:pPr>
              <w:rPr>
                <w:rFonts w:cs="Arial"/>
                <w:bCs/>
                <w:szCs w:val="16"/>
              </w:rPr>
            </w:pPr>
            <w:r w:rsidRPr="002163B7">
              <w:rPr>
                <w:rFonts w:cs="Arial"/>
                <w:bCs/>
                <w:szCs w:val="16"/>
              </w:rPr>
              <w:t>1,700</w:t>
            </w:r>
          </w:p>
        </w:tc>
        <w:tc>
          <w:tcPr>
            <w:tcW w:w="451" w:type="pct"/>
          </w:tcPr>
          <w:p w14:paraId="71B260CE" w14:textId="08E9F3B4" w:rsidR="002163B7" w:rsidRPr="002163B7" w:rsidRDefault="002163B7" w:rsidP="002163B7">
            <w:pPr>
              <w:rPr>
                <w:rFonts w:cs="Arial"/>
                <w:bCs/>
                <w:szCs w:val="16"/>
              </w:rPr>
            </w:pPr>
            <w:r w:rsidRPr="002163B7">
              <w:rPr>
                <w:rFonts w:cs="Arial"/>
                <w:bCs/>
                <w:szCs w:val="16"/>
              </w:rPr>
              <w:t>75.00%</w:t>
            </w:r>
          </w:p>
        </w:tc>
        <w:tc>
          <w:tcPr>
            <w:tcW w:w="409" w:type="pct"/>
          </w:tcPr>
          <w:p w14:paraId="6338C1B2" w14:textId="7BC386DE" w:rsidR="002163B7" w:rsidRPr="002163B7" w:rsidRDefault="002163B7" w:rsidP="002163B7">
            <w:pPr>
              <w:rPr>
                <w:rFonts w:cs="Arial"/>
                <w:bCs/>
                <w:szCs w:val="16"/>
              </w:rPr>
            </w:pPr>
            <w:r w:rsidRPr="002163B7">
              <w:rPr>
                <w:rFonts w:cs="Arial"/>
                <w:bCs/>
                <w:szCs w:val="16"/>
              </w:rPr>
              <w:t>1,683</w:t>
            </w:r>
          </w:p>
        </w:tc>
        <w:tc>
          <w:tcPr>
            <w:tcW w:w="451" w:type="pct"/>
          </w:tcPr>
          <w:p w14:paraId="136BBFD4" w14:textId="1CEB9412" w:rsidR="002163B7" w:rsidRPr="002163B7" w:rsidRDefault="002163B7" w:rsidP="002163B7">
            <w:pPr>
              <w:rPr>
                <w:rFonts w:cs="Arial"/>
                <w:bCs/>
                <w:szCs w:val="16"/>
              </w:rPr>
            </w:pPr>
            <w:r w:rsidRPr="002163B7">
              <w:rPr>
                <w:rFonts w:cs="Arial"/>
                <w:bCs/>
                <w:szCs w:val="16"/>
              </w:rPr>
              <w:t>79.62%</w:t>
            </w:r>
          </w:p>
        </w:tc>
        <w:tc>
          <w:tcPr>
            <w:tcW w:w="579" w:type="pct"/>
          </w:tcPr>
          <w:p w14:paraId="27AAECA7" w14:textId="77777777" w:rsidR="002163B7" w:rsidRPr="002163B7" w:rsidRDefault="002163B7" w:rsidP="002163B7">
            <w:pPr>
              <w:rPr>
                <w:rFonts w:cs="Arial"/>
                <w:bCs/>
                <w:szCs w:val="16"/>
              </w:rPr>
            </w:pPr>
            <w:r w:rsidRPr="002163B7">
              <w:rPr>
                <w:rFonts w:cs="Arial"/>
                <w:bCs/>
                <w:szCs w:val="16"/>
              </w:rPr>
              <w:t>4.62</w:t>
            </w:r>
          </w:p>
        </w:tc>
        <w:tc>
          <w:tcPr>
            <w:tcW w:w="386" w:type="pct"/>
          </w:tcPr>
          <w:p w14:paraId="634584D4" w14:textId="77777777" w:rsidR="002163B7" w:rsidRPr="002163B7" w:rsidRDefault="002163B7" w:rsidP="002163B7">
            <w:pPr>
              <w:rPr>
                <w:rFonts w:cs="Arial"/>
                <w:bCs/>
                <w:szCs w:val="16"/>
              </w:rPr>
            </w:pPr>
            <w:r w:rsidRPr="002163B7">
              <w:rPr>
                <w:rFonts w:cs="Arial"/>
                <w:bCs/>
                <w:szCs w:val="16"/>
              </w:rPr>
              <w:t>0.0144</w:t>
            </w:r>
          </w:p>
        </w:tc>
        <w:tc>
          <w:tcPr>
            <w:tcW w:w="386" w:type="pct"/>
          </w:tcPr>
          <w:p w14:paraId="7D05A1C3" w14:textId="77777777" w:rsidR="002163B7" w:rsidRPr="002163B7" w:rsidRDefault="002163B7" w:rsidP="002163B7">
            <w:pPr>
              <w:rPr>
                <w:rFonts w:cs="Arial"/>
                <w:bCs/>
                <w:szCs w:val="16"/>
              </w:rPr>
            </w:pPr>
            <w:r w:rsidRPr="002163B7">
              <w:rPr>
                <w:rFonts w:cs="Arial"/>
                <w:bCs/>
                <w:szCs w:val="16"/>
              </w:rPr>
              <w:t>3.2132</w:t>
            </w:r>
          </w:p>
        </w:tc>
        <w:tc>
          <w:tcPr>
            <w:tcW w:w="386" w:type="pct"/>
          </w:tcPr>
          <w:p w14:paraId="5C1BB37E" w14:textId="77777777" w:rsidR="002163B7" w:rsidRPr="002163B7" w:rsidRDefault="002163B7" w:rsidP="002163B7">
            <w:pPr>
              <w:rPr>
                <w:rFonts w:cs="Arial"/>
                <w:bCs/>
                <w:szCs w:val="16"/>
              </w:rPr>
            </w:pPr>
            <w:r w:rsidRPr="002163B7">
              <w:rPr>
                <w:rFonts w:cs="Arial"/>
                <w:bCs/>
                <w:szCs w:val="16"/>
              </w:rPr>
              <w:t>0.0013</w:t>
            </w:r>
          </w:p>
        </w:tc>
        <w:tc>
          <w:tcPr>
            <w:tcW w:w="386" w:type="pct"/>
          </w:tcPr>
          <w:p w14:paraId="2DC1DA24" w14:textId="77777777" w:rsidR="002163B7" w:rsidRPr="002163B7" w:rsidRDefault="002163B7" w:rsidP="002163B7">
            <w:pPr>
              <w:rPr>
                <w:rFonts w:cs="Arial"/>
                <w:bCs/>
                <w:szCs w:val="16"/>
              </w:rPr>
            </w:pPr>
            <w:r w:rsidRPr="002163B7">
              <w:rPr>
                <w:rFonts w:cs="Arial"/>
                <w:bCs/>
                <w:szCs w:val="16"/>
              </w:rPr>
              <w:t>YES</w:t>
            </w:r>
          </w:p>
        </w:tc>
        <w:tc>
          <w:tcPr>
            <w:tcW w:w="575" w:type="pct"/>
          </w:tcPr>
          <w:p w14:paraId="00DA6A1A" w14:textId="77777777" w:rsidR="002163B7" w:rsidRPr="002163B7" w:rsidRDefault="002163B7" w:rsidP="002163B7">
            <w:pPr>
              <w:rPr>
                <w:rFonts w:cs="Arial"/>
                <w:bCs/>
                <w:szCs w:val="16"/>
              </w:rPr>
            </w:pPr>
            <w:r w:rsidRPr="002163B7">
              <w:rPr>
                <w:rFonts w:cs="Arial"/>
                <w:bCs/>
                <w:szCs w:val="16"/>
              </w:rPr>
              <w:t>2</w:t>
            </w:r>
          </w:p>
        </w:tc>
      </w:tr>
      <w:tr w:rsidR="007B0FF2" w:rsidRPr="002163B7" w14:paraId="7815C981" w14:textId="77777777" w:rsidTr="007B0FF2">
        <w:tc>
          <w:tcPr>
            <w:tcW w:w="582" w:type="pct"/>
          </w:tcPr>
          <w:p w14:paraId="6A021056" w14:textId="77777777" w:rsidR="002163B7" w:rsidRPr="002163B7" w:rsidRDefault="002163B7" w:rsidP="002163B7">
            <w:pPr>
              <w:rPr>
                <w:rFonts w:cs="Arial"/>
                <w:b/>
                <w:bCs/>
                <w:szCs w:val="16"/>
              </w:rPr>
            </w:pPr>
            <w:r w:rsidRPr="002163B7">
              <w:rPr>
                <w:rFonts w:cs="Arial"/>
                <w:b/>
                <w:bCs/>
                <w:szCs w:val="16"/>
              </w:rPr>
              <w:t>SS1/Outcome B: Knowledge and Skills</w:t>
            </w:r>
          </w:p>
        </w:tc>
        <w:tc>
          <w:tcPr>
            <w:tcW w:w="409" w:type="pct"/>
          </w:tcPr>
          <w:p w14:paraId="6C399133" w14:textId="5B4F7274" w:rsidR="002163B7" w:rsidRPr="002163B7" w:rsidRDefault="002163B7" w:rsidP="002163B7">
            <w:pPr>
              <w:rPr>
                <w:rFonts w:cs="Arial"/>
                <w:bCs/>
                <w:szCs w:val="16"/>
              </w:rPr>
            </w:pPr>
            <w:r w:rsidRPr="002163B7">
              <w:rPr>
                <w:rFonts w:cs="Arial"/>
                <w:bCs/>
                <w:szCs w:val="16"/>
              </w:rPr>
              <w:t>1,742</w:t>
            </w:r>
          </w:p>
        </w:tc>
        <w:tc>
          <w:tcPr>
            <w:tcW w:w="451" w:type="pct"/>
          </w:tcPr>
          <w:p w14:paraId="7784492F" w14:textId="617B5A37" w:rsidR="002163B7" w:rsidRPr="002163B7" w:rsidRDefault="002163B7" w:rsidP="002163B7">
            <w:pPr>
              <w:rPr>
                <w:rFonts w:cs="Arial"/>
                <w:bCs/>
                <w:szCs w:val="16"/>
              </w:rPr>
            </w:pPr>
            <w:r w:rsidRPr="002163B7">
              <w:rPr>
                <w:rFonts w:cs="Arial"/>
                <w:bCs/>
                <w:szCs w:val="16"/>
              </w:rPr>
              <w:t>76.06%</w:t>
            </w:r>
          </w:p>
        </w:tc>
        <w:tc>
          <w:tcPr>
            <w:tcW w:w="409" w:type="pct"/>
          </w:tcPr>
          <w:p w14:paraId="28F8936D" w14:textId="5A09EDE1" w:rsidR="002163B7" w:rsidRPr="002163B7" w:rsidRDefault="002163B7" w:rsidP="002163B7">
            <w:pPr>
              <w:rPr>
                <w:rFonts w:cs="Arial"/>
                <w:bCs/>
                <w:szCs w:val="16"/>
              </w:rPr>
            </w:pPr>
            <w:r w:rsidRPr="002163B7">
              <w:rPr>
                <w:rFonts w:cs="Arial"/>
                <w:bCs/>
                <w:szCs w:val="16"/>
              </w:rPr>
              <w:t>1,719</w:t>
            </w:r>
          </w:p>
        </w:tc>
        <w:tc>
          <w:tcPr>
            <w:tcW w:w="451" w:type="pct"/>
          </w:tcPr>
          <w:p w14:paraId="633C801B" w14:textId="4A295D67" w:rsidR="002163B7" w:rsidRPr="002163B7" w:rsidRDefault="002163B7" w:rsidP="002163B7">
            <w:pPr>
              <w:rPr>
                <w:rFonts w:cs="Arial"/>
                <w:bCs/>
                <w:szCs w:val="16"/>
              </w:rPr>
            </w:pPr>
            <w:r w:rsidRPr="002163B7">
              <w:rPr>
                <w:rFonts w:cs="Arial"/>
                <w:bCs/>
                <w:szCs w:val="16"/>
              </w:rPr>
              <w:t>79.64%</w:t>
            </w:r>
          </w:p>
        </w:tc>
        <w:tc>
          <w:tcPr>
            <w:tcW w:w="579" w:type="pct"/>
          </w:tcPr>
          <w:p w14:paraId="230B7EE7" w14:textId="77777777" w:rsidR="002163B7" w:rsidRPr="002163B7" w:rsidRDefault="002163B7" w:rsidP="002163B7">
            <w:pPr>
              <w:rPr>
                <w:rFonts w:cs="Arial"/>
                <w:bCs/>
                <w:szCs w:val="16"/>
              </w:rPr>
            </w:pPr>
            <w:r w:rsidRPr="002163B7">
              <w:rPr>
                <w:rFonts w:cs="Arial"/>
                <w:bCs/>
                <w:szCs w:val="16"/>
              </w:rPr>
              <w:t>3.58</w:t>
            </w:r>
          </w:p>
        </w:tc>
        <w:tc>
          <w:tcPr>
            <w:tcW w:w="386" w:type="pct"/>
          </w:tcPr>
          <w:p w14:paraId="0B101766" w14:textId="77777777" w:rsidR="002163B7" w:rsidRPr="002163B7" w:rsidRDefault="002163B7" w:rsidP="002163B7">
            <w:pPr>
              <w:rPr>
                <w:rFonts w:cs="Arial"/>
                <w:bCs/>
                <w:szCs w:val="16"/>
              </w:rPr>
            </w:pPr>
            <w:r w:rsidRPr="002163B7">
              <w:rPr>
                <w:rFonts w:cs="Arial"/>
                <w:bCs/>
                <w:szCs w:val="16"/>
              </w:rPr>
              <w:t>0.0141</w:t>
            </w:r>
          </w:p>
        </w:tc>
        <w:tc>
          <w:tcPr>
            <w:tcW w:w="386" w:type="pct"/>
          </w:tcPr>
          <w:p w14:paraId="035E4F5E" w14:textId="77777777" w:rsidR="002163B7" w:rsidRPr="002163B7" w:rsidRDefault="002163B7" w:rsidP="002163B7">
            <w:pPr>
              <w:rPr>
                <w:rFonts w:cs="Arial"/>
                <w:bCs/>
                <w:szCs w:val="16"/>
              </w:rPr>
            </w:pPr>
            <w:r w:rsidRPr="002163B7">
              <w:rPr>
                <w:rFonts w:cs="Arial"/>
                <w:bCs/>
                <w:szCs w:val="16"/>
              </w:rPr>
              <w:t>2.5369</w:t>
            </w:r>
          </w:p>
        </w:tc>
        <w:tc>
          <w:tcPr>
            <w:tcW w:w="386" w:type="pct"/>
          </w:tcPr>
          <w:p w14:paraId="54177C2C" w14:textId="77777777" w:rsidR="002163B7" w:rsidRPr="002163B7" w:rsidRDefault="002163B7" w:rsidP="002163B7">
            <w:pPr>
              <w:rPr>
                <w:rFonts w:cs="Arial"/>
                <w:bCs/>
                <w:szCs w:val="16"/>
              </w:rPr>
            </w:pPr>
            <w:r w:rsidRPr="002163B7">
              <w:rPr>
                <w:rFonts w:cs="Arial"/>
                <w:bCs/>
                <w:szCs w:val="16"/>
              </w:rPr>
              <w:t>0.0112</w:t>
            </w:r>
          </w:p>
        </w:tc>
        <w:tc>
          <w:tcPr>
            <w:tcW w:w="386" w:type="pct"/>
          </w:tcPr>
          <w:p w14:paraId="24039893" w14:textId="77777777" w:rsidR="002163B7" w:rsidRPr="002163B7" w:rsidRDefault="002163B7" w:rsidP="002163B7">
            <w:pPr>
              <w:rPr>
                <w:rFonts w:cs="Arial"/>
                <w:bCs/>
                <w:szCs w:val="16"/>
              </w:rPr>
            </w:pPr>
            <w:r w:rsidRPr="002163B7">
              <w:rPr>
                <w:rFonts w:cs="Arial"/>
                <w:bCs/>
                <w:szCs w:val="16"/>
              </w:rPr>
              <w:t>YES</w:t>
            </w:r>
          </w:p>
        </w:tc>
        <w:tc>
          <w:tcPr>
            <w:tcW w:w="575" w:type="pct"/>
          </w:tcPr>
          <w:p w14:paraId="39010B28" w14:textId="77777777" w:rsidR="002163B7" w:rsidRPr="002163B7" w:rsidRDefault="002163B7" w:rsidP="002163B7">
            <w:pPr>
              <w:rPr>
                <w:rFonts w:cs="Arial"/>
                <w:bCs/>
                <w:szCs w:val="16"/>
              </w:rPr>
            </w:pPr>
            <w:r w:rsidRPr="002163B7">
              <w:rPr>
                <w:rFonts w:cs="Arial"/>
                <w:bCs/>
                <w:szCs w:val="16"/>
              </w:rPr>
              <w:t>2</w:t>
            </w:r>
          </w:p>
        </w:tc>
      </w:tr>
      <w:tr w:rsidR="007B0FF2" w:rsidRPr="002163B7" w14:paraId="0778F602" w14:textId="77777777" w:rsidTr="007B0FF2">
        <w:tc>
          <w:tcPr>
            <w:tcW w:w="582" w:type="pct"/>
          </w:tcPr>
          <w:p w14:paraId="76E0611B" w14:textId="77777777" w:rsidR="002163B7" w:rsidRPr="002163B7" w:rsidRDefault="002163B7" w:rsidP="002163B7">
            <w:pPr>
              <w:rPr>
                <w:rFonts w:cs="Arial"/>
                <w:b/>
                <w:bCs/>
                <w:szCs w:val="16"/>
              </w:rPr>
            </w:pPr>
            <w:r w:rsidRPr="002163B7">
              <w:rPr>
                <w:rFonts w:cs="Arial"/>
                <w:b/>
                <w:bCs/>
                <w:szCs w:val="16"/>
              </w:rPr>
              <w:t>SS1/Outcome C: Actions to meet needs</w:t>
            </w:r>
          </w:p>
        </w:tc>
        <w:tc>
          <w:tcPr>
            <w:tcW w:w="409" w:type="pct"/>
          </w:tcPr>
          <w:p w14:paraId="18FA43C5" w14:textId="3DAB1DB0" w:rsidR="002163B7" w:rsidRPr="002163B7" w:rsidRDefault="002163B7" w:rsidP="002163B7">
            <w:pPr>
              <w:rPr>
                <w:rFonts w:cs="Arial"/>
                <w:bCs/>
                <w:szCs w:val="16"/>
              </w:rPr>
            </w:pPr>
            <w:r w:rsidRPr="002163B7">
              <w:rPr>
                <w:rFonts w:cs="Arial"/>
                <w:bCs/>
                <w:szCs w:val="16"/>
              </w:rPr>
              <w:t>1,727</w:t>
            </w:r>
          </w:p>
        </w:tc>
        <w:tc>
          <w:tcPr>
            <w:tcW w:w="451" w:type="pct"/>
          </w:tcPr>
          <w:p w14:paraId="540692E3" w14:textId="56E6F3CD" w:rsidR="002163B7" w:rsidRPr="002163B7" w:rsidRDefault="002163B7" w:rsidP="002163B7">
            <w:pPr>
              <w:rPr>
                <w:rFonts w:cs="Arial"/>
                <w:bCs/>
                <w:szCs w:val="16"/>
              </w:rPr>
            </w:pPr>
            <w:r w:rsidRPr="002163B7">
              <w:rPr>
                <w:rFonts w:cs="Arial"/>
                <w:bCs/>
                <w:szCs w:val="16"/>
              </w:rPr>
              <w:t>75.85%</w:t>
            </w:r>
          </w:p>
        </w:tc>
        <w:tc>
          <w:tcPr>
            <w:tcW w:w="409" w:type="pct"/>
          </w:tcPr>
          <w:p w14:paraId="1B3E02C2" w14:textId="2CE8465F" w:rsidR="002163B7" w:rsidRPr="002163B7" w:rsidRDefault="002163B7" w:rsidP="002163B7">
            <w:pPr>
              <w:rPr>
                <w:rFonts w:cs="Arial"/>
                <w:bCs/>
                <w:szCs w:val="16"/>
              </w:rPr>
            </w:pPr>
            <w:r w:rsidRPr="002163B7">
              <w:rPr>
                <w:rFonts w:cs="Arial"/>
                <w:bCs/>
                <w:szCs w:val="16"/>
              </w:rPr>
              <w:t>1,712</w:t>
            </w:r>
          </w:p>
        </w:tc>
        <w:tc>
          <w:tcPr>
            <w:tcW w:w="451" w:type="pct"/>
          </w:tcPr>
          <w:p w14:paraId="34FC7C5B" w14:textId="5058C880" w:rsidR="002163B7" w:rsidRPr="002163B7" w:rsidRDefault="002163B7" w:rsidP="002163B7">
            <w:pPr>
              <w:rPr>
                <w:rFonts w:cs="Arial"/>
                <w:bCs/>
                <w:szCs w:val="16"/>
              </w:rPr>
            </w:pPr>
            <w:r w:rsidRPr="002163B7">
              <w:rPr>
                <w:rFonts w:cs="Arial"/>
                <w:bCs/>
                <w:szCs w:val="16"/>
              </w:rPr>
              <w:t>77.10%</w:t>
            </w:r>
          </w:p>
        </w:tc>
        <w:tc>
          <w:tcPr>
            <w:tcW w:w="579" w:type="pct"/>
          </w:tcPr>
          <w:p w14:paraId="553B8B85" w14:textId="77777777" w:rsidR="002163B7" w:rsidRPr="002163B7" w:rsidRDefault="002163B7" w:rsidP="002163B7">
            <w:pPr>
              <w:rPr>
                <w:rFonts w:cs="Arial"/>
                <w:bCs/>
                <w:szCs w:val="16"/>
              </w:rPr>
            </w:pPr>
            <w:r w:rsidRPr="002163B7">
              <w:rPr>
                <w:rFonts w:cs="Arial"/>
                <w:bCs/>
                <w:szCs w:val="16"/>
              </w:rPr>
              <w:t>1.25</w:t>
            </w:r>
          </w:p>
        </w:tc>
        <w:tc>
          <w:tcPr>
            <w:tcW w:w="386" w:type="pct"/>
          </w:tcPr>
          <w:p w14:paraId="68644CB3" w14:textId="77777777" w:rsidR="002163B7" w:rsidRPr="002163B7" w:rsidRDefault="002163B7" w:rsidP="002163B7">
            <w:pPr>
              <w:rPr>
                <w:rFonts w:cs="Arial"/>
                <w:bCs/>
                <w:szCs w:val="16"/>
              </w:rPr>
            </w:pPr>
            <w:r w:rsidRPr="002163B7">
              <w:rPr>
                <w:rFonts w:cs="Arial"/>
                <w:bCs/>
                <w:szCs w:val="16"/>
              </w:rPr>
              <w:t>0.0145</w:t>
            </w:r>
          </w:p>
        </w:tc>
        <w:tc>
          <w:tcPr>
            <w:tcW w:w="386" w:type="pct"/>
          </w:tcPr>
          <w:p w14:paraId="6ADF51A1" w14:textId="77777777" w:rsidR="002163B7" w:rsidRPr="002163B7" w:rsidRDefault="002163B7" w:rsidP="002163B7">
            <w:pPr>
              <w:rPr>
                <w:rFonts w:cs="Arial"/>
                <w:bCs/>
                <w:szCs w:val="16"/>
              </w:rPr>
            </w:pPr>
            <w:r w:rsidRPr="002163B7">
              <w:rPr>
                <w:rFonts w:cs="Arial"/>
                <w:bCs/>
                <w:szCs w:val="16"/>
              </w:rPr>
              <w:t>0.8634</w:t>
            </w:r>
          </w:p>
        </w:tc>
        <w:tc>
          <w:tcPr>
            <w:tcW w:w="386" w:type="pct"/>
          </w:tcPr>
          <w:p w14:paraId="144B8F31" w14:textId="77777777" w:rsidR="002163B7" w:rsidRPr="002163B7" w:rsidRDefault="002163B7" w:rsidP="002163B7">
            <w:pPr>
              <w:rPr>
                <w:rFonts w:cs="Arial"/>
                <w:bCs/>
                <w:szCs w:val="16"/>
              </w:rPr>
            </w:pPr>
            <w:r w:rsidRPr="002163B7">
              <w:rPr>
                <w:rFonts w:cs="Arial"/>
                <w:bCs/>
                <w:szCs w:val="16"/>
              </w:rPr>
              <w:t>0.3879</w:t>
            </w:r>
          </w:p>
        </w:tc>
        <w:tc>
          <w:tcPr>
            <w:tcW w:w="386" w:type="pct"/>
          </w:tcPr>
          <w:p w14:paraId="31C10E76" w14:textId="77777777" w:rsidR="002163B7" w:rsidRPr="002163B7" w:rsidRDefault="002163B7" w:rsidP="002163B7">
            <w:pPr>
              <w:rPr>
                <w:rFonts w:cs="Arial"/>
                <w:bCs/>
                <w:szCs w:val="16"/>
              </w:rPr>
            </w:pPr>
            <w:r w:rsidRPr="002163B7">
              <w:rPr>
                <w:rFonts w:cs="Arial"/>
                <w:bCs/>
                <w:szCs w:val="16"/>
              </w:rPr>
              <w:t>NO</w:t>
            </w:r>
          </w:p>
        </w:tc>
        <w:tc>
          <w:tcPr>
            <w:tcW w:w="575" w:type="pct"/>
          </w:tcPr>
          <w:p w14:paraId="56549F88" w14:textId="77777777" w:rsidR="002163B7" w:rsidRPr="002163B7" w:rsidRDefault="002163B7" w:rsidP="002163B7">
            <w:pPr>
              <w:rPr>
                <w:rFonts w:cs="Arial"/>
                <w:bCs/>
                <w:szCs w:val="16"/>
              </w:rPr>
            </w:pPr>
            <w:r w:rsidRPr="002163B7">
              <w:rPr>
                <w:rFonts w:cs="Arial"/>
                <w:bCs/>
                <w:szCs w:val="16"/>
              </w:rPr>
              <w:t>1</w:t>
            </w:r>
          </w:p>
        </w:tc>
      </w:tr>
      <w:tr w:rsidR="007B0FF2" w:rsidRPr="002163B7" w14:paraId="05E5DA9C" w14:textId="77777777" w:rsidTr="007B0FF2">
        <w:tc>
          <w:tcPr>
            <w:tcW w:w="582" w:type="pct"/>
          </w:tcPr>
          <w:p w14:paraId="468256C9" w14:textId="77777777" w:rsidR="002163B7" w:rsidRPr="002163B7" w:rsidRDefault="002163B7" w:rsidP="002163B7">
            <w:pPr>
              <w:rPr>
                <w:rFonts w:cs="Arial"/>
                <w:b/>
                <w:bCs/>
                <w:szCs w:val="16"/>
              </w:rPr>
            </w:pPr>
            <w:r w:rsidRPr="002163B7">
              <w:rPr>
                <w:rFonts w:cs="Arial"/>
                <w:b/>
                <w:bCs/>
                <w:szCs w:val="16"/>
              </w:rPr>
              <w:t>SS2/Outcome A: Positive Social Relationships</w:t>
            </w:r>
          </w:p>
        </w:tc>
        <w:tc>
          <w:tcPr>
            <w:tcW w:w="409" w:type="pct"/>
          </w:tcPr>
          <w:p w14:paraId="11482F5E" w14:textId="7117244E" w:rsidR="002163B7" w:rsidRPr="002163B7" w:rsidRDefault="002163B7" w:rsidP="002163B7">
            <w:pPr>
              <w:rPr>
                <w:rFonts w:cs="Arial"/>
                <w:bCs/>
                <w:szCs w:val="16"/>
              </w:rPr>
            </w:pPr>
            <w:r w:rsidRPr="002163B7">
              <w:rPr>
                <w:rFonts w:cs="Arial"/>
                <w:bCs/>
                <w:szCs w:val="16"/>
              </w:rPr>
              <w:t>1,810</w:t>
            </w:r>
          </w:p>
        </w:tc>
        <w:tc>
          <w:tcPr>
            <w:tcW w:w="451" w:type="pct"/>
          </w:tcPr>
          <w:p w14:paraId="194DF487" w14:textId="7DCD0747" w:rsidR="002163B7" w:rsidRPr="002163B7" w:rsidRDefault="002163B7" w:rsidP="002163B7">
            <w:pPr>
              <w:rPr>
                <w:rFonts w:cs="Arial"/>
                <w:bCs/>
                <w:szCs w:val="16"/>
              </w:rPr>
            </w:pPr>
            <w:r w:rsidRPr="002163B7">
              <w:rPr>
                <w:rFonts w:cs="Arial"/>
                <w:bCs/>
                <w:szCs w:val="16"/>
              </w:rPr>
              <w:t>35.19%</w:t>
            </w:r>
          </w:p>
        </w:tc>
        <w:tc>
          <w:tcPr>
            <w:tcW w:w="409" w:type="pct"/>
          </w:tcPr>
          <w:p w14:paraId="5EAAAE8A" w14:textId="57AB6E77" w:rsidR="002163B7" w:rsidRPr="002163B7" w:rsidRDefault="002163B7" w:rsidP="002163B7">
            <w:pPr>
              <w:rPr>
                <w:rFonts w:cs="Arial"/>
                <w:bCs/>
                <w:szCs w:val="16"/>
              </w:rPr>
            </w:pPr>
            <w:r w:rsidRPr="002163B7">
              <w:rPr>
                <w:rFonts w:cs="Arial"/>
                <w:bCs/>
                <w:szCs w:val="16"/>
              </w:rPr>
              <w:t>1,774</w:t>
            </w:r>
          </w:p>
        </w:tc>
        <w:tc>
          <w:tcPr>
            <w:tcW w:w="451" w:type="pct"/>
          </w:tcPr>
          <w:p w14:paraId="54F6D99F" w14:textId="0EE83B30" w:rsidR="002163B7" w:rsidRPr="002163B7" w:rsidRDefault="002163B7" w:rsidP="002163B7">
            <w:pPr>
              <w:rPr>
                <w:rFonts w:cs="Arial"/>
                <w:bCs/>
                <w:szCs w:val="16"/>
              </w:rPr>
            </w:pPr>
            <w:r w:rsidRPr="002163B7">
              <w:rPr>
                <w:rFonts w:cs="Arial"/>
                <w:bCs/>
                <w:szCs w:val="16"/>
              </w:rPr>
              <w:t>28.07%</w:t>
            </w:r>
          </w:p>
        </w:tc>
        <w:tc>
          <w:tcPr>
            <w:tcW w:w="579" w:type="pct"/>
          </w:tcPr>
          <w:p w14:paraId="1D077B69" w14:textId="77777777" w:rsidR="002163B7" w:rsidRPr="002163B7" w:rsidRDefault="002163B7" w:rsidP="002163B7">
            <w:pPr>
              <w:rPr>
                <w:rFonts w:cs="Arial"/>
                <w:bCs/>
                <w:szCs w:val="16"/>
              </w:rPr>
            </w:pPr>
            <w:r w:rsidRPr="002163B7">
              <w:rPr>
                <w:rFonts w:cs="Arial"/>
                <w:bCs/>
                <w:szCs w:val="16"/>
              </w:rPr>
              <w:t>-7.12</w:t>
            </w:r>
          </w:p>
        </w:tc>
        <w:tc>
          <w:tcPr>
            <w:tcW w:w="386" w:type="pct"/>
          </w:tcPr>
          <w:p w14:paraId="43162C08" w14:textId="77777777" w:rsidR="002163B7" w:rsidRPr="002163B7" w:rsidRDefault="002163B7" w:rsidP="002163B7">
            <w:pPr>
              <w:rPr>
                <w:rFonts w:cs="Arial"/>
                <w:bCs/>
                <w:szCs w:val="16"/>
              </w:rPr>
            </w:pPr>
            <w:r w:rsidRPr="002163B7">
              <w:rPr>
                <w:rFonts w:cs="Arial"/>
                <w:bCs/>
                <w:szCs w:val="16"/>
              </w:rPr>
              <w:t>0.0155</w:t>
            </w:r>
          </w:p>
        </w:tc>
        <w:tc>
          <w:tcPr>
            <w:tcW w:w="386" w:type="pct"/>
          </w:tcPr>
          <w:p w14:paraId="44A41449" w14:textId="77777777" w:rsidR="002163B7" w:rsidRPr="002163B7" w:rsidRDefault="002163B7" w:rsidP="002163B7">
            <w:pPr>
              <w:rPr>
                <w:rFonts w:cs="Arial"/>
                <w:bCs/>
                <w:szCs w:val="16"/>
              </w:rPr>
            </w:pPr>
            <w:r w:rsidRPr="002163B7">
              <w:rPr>
                <w:rFonts w:cs="Arial"/>
                <w:bCs/>
                <w:szCs w:val="16"/>
              </w:rPr>
              <w:t>-4.5984</w:t>
            </w:r>
          </w:p>
        </w:tc>
        <w:tc>
          <w:tcPr>
            <w:tcW w:w="386" w:type="pct"/>
          </w:tcPr>
          <w:p w14:paraId="65AB0524" w14:textId="77777777" w:rsidR="002163B7" w:rsidRPr="002163B7" w:rsidRDefault="002163B7" w:rsidP="002163B7">
            <w:pPr>
              <w:rPr>
                <w:rFonts w:cs="Arial"/>
                <w:bCs/>
                <w:szCs w:val="16"/>
              </w:rPr>
            </w:pPr>
            <w:r w:rsidRPr="002163B7">
              <w:rPr>
                <w:rFonts w:cs="Arial"/>
                <w:bCs/>
                <w:szCs w:val="16"/>
              </w:rPr>
              <w:t>&lt;.0001</w:t>
            </w:r>
          </w:p>
        </w:tc>
        <w:tc>
          <w:tcPr>
            <w:tcW w:w="386" w:type="pct"/>
          </w:tcPr>
          <w:p w14:paraId="6CF12100" w14:textId="77777777" w:rsidR="002163B7" w:rsidRPr="002163B7" w:rsidRDefault="002163B7" w:rsidP="002163B7">
            <w:pPr>
              <w:rPr>
                <w:rFonts w:cs="Arial"/>
                <w:bCs/>
                <w:szCs w:val="16"/>
              </w:rPr>
            </w:pPr>
            <w:r w:rsidRPr="002163B7">
              <w:rPr>
                <w:rFonts w:cs="Arial"/>
                <w:bCs/>
                <w:szCs w:val="16"/>
              </w:rPr>
              <w:t>YES</w:t>
            </w:r>
          </w:p>
        </w:tc>
        <w:tc>
          <w:tcPr>
            <w:tcW w:w="575" w:type="pct"/>
          </w:tcPr>
          <w:p w14:paraId="798BDE8E" w14:textId="77777777" w:rsidR="002163B7" w:rsidRPr="002163B7" w:rsidRDefault="002163B7" w:rsidP="002163B7">
            <w:pPr>
              <w:rPr>
                <w:rFonts w:cs="Arial"/>
                <w:bCs/>
                <w:szCs w:val="16"/>
              </w:rPr>
            </w:pPr>
            <w:r w:rsidRPr="002163B7">
              <w:rPr>
                <w:rFonts w:cs="Arial"/>
                <w:bCs/>
                <w:szCs w:val="16"/>
              </w:rPr>
              <w:t>0</w:t>
            </w:r>
          </w:p>
        </w:tc>
      </w:tr>
      <w:tr w:rsidR="007B0FF2" w:rsidRPr="002163B7" w14:paraId="30DB6BCD" w14:textId="77777777" w:rsidTr="007B0FF2">
        <w:tc>
          <w:tcPr>
            <w:tcW w:w="582" w:type="pct"/>
          </w:tcPr>
          <w:p w14:paraId="5E00513C" w14:textId="77777777" w:rsidR="002163B7" w:rsidRPr="002163B7" w:rsidRDefault="002163B7" w:rsidP="002163B7">
            <w:pPr>
              <w:rPr>
                <w:rFonts w:cs="Arial"/>
                <w:b/>
                <w:bCs/>
                <w:szCs w:val="16"/>
              </w:rPr>
            </w:pPr>
            <w:r w:rsidRPr="002163B7">
              <w:rPr>
                <w:rFonts w:cs="Arial"/>
                <w:b/>
                <w:bCs/>
                <w:szCs w:val="16"/>
              </w:rPr>
              <w:t>SS2/Outcome B: Knowledge and Skills</w:t>
            </w:r>
          </w:p>
        </w:tc>
        <w:tc>
          <w:tcPr>
            <w:tcW w:w="409" w:type="pct"/>
          </w:tcPr>
          <w:p w14:paraId="4D395E56" w14:textId="7D237C82" w:rsidR="002163B7" w:rsidRPr="002163B7" w:rsidRDefault="002163B7" w:rsidP="002163B7">
            <w:pPr>
              <w:rPr>
                <w:rFonts w:cs="Arial"/>
                <w:bCs/>
                <w:szCs w:val="16"/>
              </w:rPr>
            </w:pPr>
            <w:r w:rsidRPr="002163B7">
              <w:rPr>
                <w:rFonts w:cs="Arial"/>
                <w:bCs/>
                <w:szCs w:val="16"/>
              </w:rPr>
              <w:t>1,810</w:t>
            </w:r>
          </w:p>
        </w:tc>
        <w:tc>
          <w:tcPr>
            <w:tcW w:w="451" w:type="pct"/>
          </w:tcPr>
          <w:p w14:paraId="2CE4E688" w14:textId="5431A696" w:rsidR="002163B7" w:rsidRPr="002163B7" w:rsidRDefault="002163B7" w:rsidP="002163B7">
            <w:pPr>
              <w:rPr>
                <w:rFonts w:cs="Arial"/>
                <w:bCs/>
                <w:szCs w:val="16"/>
              </w:rPr>
            </w:pPr>
            <w:r w:rsidRPr="002163B7">
              <w:rPr>
                <w:rFonts w:cs="Arial"/>
                <w:bCs/>
                <w:szCs w:val="16"/>
              </w:rPr>
              <w:t>33.87%</w:t>
            </w:r>
          </w:p>
        </w:tc>
        <w:tc>
          <w:tcPr>
            <w:tcW w:w="409" w:type="pct"/>
          </w:tcPr>
          <w:p w14:paraId="646CA85A" w14:textId="3C895BAE" w:rsidR="002163B7" w:rsidRPr="002163B7" w:rsidRDefault="002163B7" w:rsidP="002163B7">
            <w:pPr>
              <w:rPr>
                <w:rFonts w:cs="Arial"/>
                <w:bCs/>
                <w:szCs w:val="16"/>
              </w:rPr>
            </w:pPr>
            <w:r w:rsidRPr="002163B7">
              <w:rPr>
                <w:rFonts w:cs="Arial"/>
                <w:bCs/>
                <w:szCs w:val="16"/>
              </w:rPr>
              <w:t>1,774</w:t>
            </w:r>
          </w:p>
        </w:tc>
        <w:tc>
          <w:tcPr>
            <w:tcW w:w="451" w:type="pct"/>
          </w:tcPr>
          <w:p w14:paraId="37836055" w14:textId="1351FC3C" w:rsidR="002163B7" w:rsidRPr="002163B7" w:rsidRDefault="002163B7" w:rsidP="002163B7">
            <w:pPr>
              <w:rPr>
                <w:rFonts w:cs="Arial"/>
                <w:bCs/>
                <w:szCs w:val="16"/>
              </w:rPr>
            </w:pPr>
            <w:r w:rsidRPr="002163B7">
              <w:rPr>
                <w:rFonts w:cs="Arial"/>
                <w:bCs/>
                <w:szCs w:val="16"/>
              </w:rPr>
              <w:t>26.55%</w:t>
            </w:r>
          </w:p>
        </w:tc>
        <w:tc>
          <w:tcPr>
            <w:tcW w:w="579" w:type="pct"/>
          </w:tcPr>
          <w:p w14:paraId="46137C56" w14:textId="77777777" w:rsidR="002163B7" w:rsidRPr="002163B7" w:rsidRDefault="002163B7" w:rsidP="002163B7">
            <w:pPr>
              <w:rPr>
                <w:rFonts w:cs="Arial"/>
                <w:bCs/>
                <w:szCs w:val="16"/>
              </w:rPr>
            </w:pPr>
            <w:r w:rsidRPr="002163B7">
              <w:rPr>
                <w:rFonts w:cs="Arial"/>
                <w:bCs/>
                <w:szCs w:val="16"/>
              </w:rPr>
              <w:t>-7.32</w:t>
            </w:r>
          </w:p>
        </w:tc>
        <w:tc>
          <w:tcPr>
            <w:tcW w:w="386" w:type="pct"/>
          </w:tcPr>
          <w:p w14:paraId="7495D8D0" w14:textId="77777777" w:rsidR="002163B7" w:rsidRPr="002163B7" w:rsidRDefault="002163B7" w:rsidP="002163B7">
            <w:pPr>
              <w:rPr>
                <w:rFonts w:cs="Arial"/>
                <w:bCs/>
                <w:szCs w:val="16"/>
              </w:rPr>
            </w:pPr>
            <w:r w:rsidRPr="002163B7">
              <w:rPr>
                <w:rFonts w:cs="Arial"/>
                <w:bCs/>
                <w:szCs w:val="16"/>
              </w:rPr>
              <w:t>0.0153</w:t>
            </w:r>
          </w:p>
        </w:tc>
        <w:tc>
          <w:tcPr>
            <w:tcW w:w="386" w:type="pct"/>
          </w:tcPr>
          <w:p w14:paraId="33ABA125" w14:textId="77777777" w:rsidR="002163B7" w:rsidRPr="002163B7" w:rsidRDefault="002163B7" w:rsidP="002163B7">
            <w:pPr>
              <w:rPr>
                <w:rFonts w:cs="Arial"/>
                <w:bCs/>
                <w:szCs w:val="16"/>
              </w:rPr>
            </w:pPr>
            <w:r w:rsidRPr="002163B7">
              <w:rPr>
                <w:rFonts w:cs="Arial"/>
                <w:bCs/>
                <w:szCs w:val="16"/>
              </w:rPr>
              <w:t>-4.7868</w:t>
            </w:r>
          </w:p>
        </w:tc>
        <w:tc>
          <w:tcPr>
            <w:tcW w:w="386" w:type="pct"/>
          </w:tcPr>
          <w:p w14:paraId="5A51CC66" w14:textId="77777777" w:rsidR="002163B7" w:rsidRPr="002163B7" w:rsidRDefault="002163B7" w:rsidP="002163B7">
            <w:pPr>
              <w:rPr>
                <w:rFonts w:cs="Arial"/>
                <w:bCs/>
                <w:szCs w:val="16"/>
              </w:rPr>
            </w:pPr>
            <w:r w:rsidRPr="002163B7">
              <w:rPr>
                <w:rFonts w:cs="Arial"/>
                <w:bCs/>
                <w:szCs w:val="16"/>
              </w:rPr>
              <w:t>&lt;.0001</w:t>
            </w:r>
          </w:p>
        </w:tc>
        <w:tc>
          <w:tcPr>
            <w:tcW w:w="386" w:type="pct"/>
          </w:tcPr>
          <w:p w14:paraId="0F1B5B98" w14:textId="77777777" w:rsidR="002163B7" w:rsidRPr="002163B7" w:rsidRDefault="002163B7" w:rsidP="002163B7">
            <w:pPr>
              <w:rPr>
                <w:rFonts w:cs="Arial"/>
                <w:bCs/>
                <w:szCs w:val="16"/>
              </w:rPr>
            </w:pPr>
            <w:r w:rsidRPr="002163B7">
              <w:rPr>
                <w:rFonts w:cs="Arial"/>
                <w:bCs/>
                <w:szCs w:val="16"/>
              </w:rPr>
              <w:t>YES</w:t>
            </w:r>
          </w:p>
        </w:tc>
        <w:tc>
          <w:tcPr>
            <w:tcW w:w="575" w:type="pct"/>
          </w:tcPr>
          <w:p w14:paraId="27959755" w14:textId="77777777" w:rsidR="002163B7" w:rsidRPr="002163B7" w:rsidRDefault="002163B7" w:rsidP="002163B7">
            <w:pPr>
              <w:rPr>
                <w:rFonts w:cs="Arial"/>
                <w:bCs/>
                <w:szCs w:val="16"/>
              </w:rPr>
            </w:pPr>
            <w:r w:rsidRPr="002163B7">
              <w:rPr>
                <w:rFonts w:cs="Arial"/>
                <w:bCs/>
                <w:szCs w:val="16"/>
              </w:rPr>
              <w:t>0</w:t>
            </w:r>
          </w:p>
        </w:tc>
      </w:tr>
      <w:tr w:rsidR="007B0FF2" w:rsidRPr="002163B7" w14:paraId="00C318DD" w14:textId="77777777" w:rsidTr="007B0FF2">
        <w:trPr>
          <w:trHeight w:val="31"/>
        </w:trPr>
        <w:tc>
          <w:tcPr>
            <w:tcW w:w="582" w:type="pct"/>
          </w:tcPr>
          <w:p w14:paraId="6CC35BBB" w14:textId="77777777" w:rsidR="002163B7" w:rsidRPr="002163B7" w:rsidRDefault="002163B7" w:rsidP="002163B7">
            <w:pPr>
              <w:rPr>
                <w:rFonts w:cs="Arial"/>
                <w:b/>
                <w:bCs/>
                <w:szCs w:val="16"/>
              </w:rPr>
            </w:pPr>
            <w:r w:rsidRPr="002163B7">
              <w:rPr>
                <w:rFonts w:cs="Arial"/>
                <w:b/>
                <w:bCs/>
                <w:szCs w:val="16"/>
              </w:rPr>
              <w:t>SS2/Outcome C: Actions to meet needs</w:t>
            </w:r>
          </w:p>
        </w:tc>
        <w:tc>
          <w:tcPr>
            <w:tcW w:w="409" w:type="pct"/>
          </w:tcPr>
          <w:p w14:paraId="1DA300FC" w14:textId="14FAE9CD" w:rsidR="002163B7" w:rsidRPr="002163B7" w:rsidRDefault="002163B7" w:rsidP="002163B7">
            <w:pPr>
              <w:rPr>
                <w:rFonts w:cs="Arial"/>
                <w:bCs/>
                <w:szCs w:val="16"/>
              </w:rPr>
            </w:pPr>
            <w:r w:rsidRPr="002163B7">
              <w:rPr>
                <w:rFonts w:cs="Arial"/>
                <w:bCs/>
                <w:szCs w:val="16"/>
              </w:rPr>
              <w:t>1,810</w:t>
            </w:r>
          </w:p>
        </w:tc>
        <w:tc>
          <w:tcPr>
            <w:tcW w:w="451" w:type="pct"/>
          </w:tcPr>
          <w:p w14:paraId="11697454" w14:textId="54436DC8" w:rsidR="002163B7" w:rsidRPr="002163B7" w:rsidRDefault="002163B7" w:rsidP="002163B7">
            <w:pPr>
              <w:rPr>
                <w:rFonts w:cs="Arial"/>
                <w:bCs/>
                <w:szCs w:val="16"/>
              </w:rPr>
            </w:pPr>
            <w:r w:rsidRPr="002163B7">
              <w:rPr>
                <w:rFonts w:cs="Arial"/>
                <w:bCs/>
                <w:szCs w:val="16"/>
              </w:rPr>
              <w:t>37.79%</w:t>
            </w:r>
          </w:p>
        </w:tc>
        <w:tc>
          <w:tcPr>
            <w:tcW w:w="409" w:type="pct"/>
          </w:tcPr>
          <w:p w14:paraId="15A07783" w14:textId="7CD02A10" w:rsidR="002163B7" w:rsidRPr="002163B7" w:rsidRDefault="002163B7" w:rsidP="002163B7">
            <w:pPr>
              <w:rPr>
                <w:rFonts w:cs="Arial"/>
                <w:bCs/>
                <w:szCs w:val="16"/>
              </w:rPr>
            </w:pPr>
            <w:r w:rsidRPr="002163B7">
              <w:rPr>
                <w:rFonts w:cs="Arial"/>
                <w:bCs/>
                <w:szCs w:val="16"/>
              </w:rPr>
              <w:t>1,774</w:t>
            </w:r>
          </w:p>
        </w:tc>
        <w:tc>
          <w:tcPr>
            <w:tcW w:w="451" w:type="pct"/>
          </w:tcPr>
          <w:p w14:paraId="48158A85" w14:textId="5FA103FF" w:rsidR="002163B7" w:rsidRPr="002163B7" w:rsidRDefault="002163B7" w:rsidP="002163B7">
            <w:pPr>
              <w:rPr>
                <w:rFonts w:cs="Arial"/>
                <w:bCs/>
                <w:szCs w:val="16"/>
              </w:rPr>
            </w:pPr>
            <w:r w:rsidRPr="002163B7">
              <w:rPr>
                <w:rFonts w:cs="Arial"/>
                <w:bCs/>
                <w:szCs w:val="16"/>
              </w:rPr>
              <w:t>31.12%</w:t>
            </w:r>
          </w:p>
        </w:tc>
        <w:tc>
          <w:tcPr>
            <w:tcW w:w="579" w:type="pct"/>
          </w:tcPr>
          <w:p w14:paraId="7D6FF76A" w14:textId="77777777" w:rsidR="002163B7" w:rsidRPr="002163B7" w:rsidRDefault="002163B7" w:rsidP="002163B7">
            <w:pPr>
              <w:rPr>
                <w:rFonts w:cs="Arial"/>
                <w:bCs/>
                <w:szCs w:val="16"/>
              </w:rPr>
            </w:pPr>
            <w:r w:rsidRPr="002163B7">
              <w:rPr>
                <w:rFonts w:cs="Arial"/>
                <w:bCs/>
                <w:szCs w:val="16"/>
              </w:rPr>
              <w:t>-6.67</w:t>
            </w:r>
          </w:p>
        </w:tc>
        <w:tc>
          <w:tcPr>
            <w:tcW w:w="386" w:type="pct"/>
          </w:tcPr>
          <w:p w14:paraId="4B739B50" w14:textId="77777777" w:rsidR="002163B7" w:rsidRPr="002163B7" w:rsidRDefault="002163B7" w:rsidP="002163B7">
            <w:pPr>
              <w:rPr>
                <w:rFonts w:cs="Arial"/>
                <w:bCs/>
                <w:szCs w:val="16"/>
              </w:rPr>
            </w:pPr>
            <w:r w:rsidRPr="002163B7">
              <w:rPr>
                <w:rFonts w:cs="Arial"/>
                <w:bCs/>
                <w:szCs w:val="16"/>
              </w:rPr>
              <w:t>0.0158</w:t>
            </w:r>
          </w:p>
        </w:tc>
        <w:tc>
          <w:tcPr>
            <w:tcW w:w="386" w:type="pct"/>
          </w:tcPr>
          <w:p w14:paraId="2D1A2501" w14:textId="77777777" w:rsidR="002163B7" w:rsidRPr="002163B7" w:rsidRDefault="002163B7" w:rsidP="002163B7">
            <w:pPr>
              <w:rPr>
                <w:rFonts w:cs="Arial"/>
                <w:bCs/>
                <w:szCs w:val="16"/>
              </w:rPr>
            </w:pPr>
            <w:r w:rsidRPr="002163B7">
              <w:rPr>
                <w:rFonts w:cs="Arial"/>
                <w:bCs/>
                <w:szCs w:val="16"/>
              </w:rPr>
              <w:t>-4.2150</w:t>
            </w:r>
          </w:p>
        </w:tc>
        <w:tc>
          <w:tcPr>
            <w:tcW w:w="386" w:type="pct"/>
          </w:tcPr>
          <w:p w14:paraId="5F0A6224" w14:textId="77777777" w:rsidR="002163B7" w:rsidRPr="002163B7" w:rsidRDefault="002163B7" w:rsidP="002163B7">
            <w:pPr>
              <w:rPr>
                <w:rFonts w:cs="Arial"/>
                <w:bCs/>
                <w:szCs w:val="16"/>
              </w:rPr>
            </w:pPr>
            <w:r w:rsidRPr="002163B7">
              <w:rPr>
                <w:rFonts w:cs="Arial"/>
                <w:bCs/>
                <w:szCs w:val="16"/>
              </w:rPr>
              <w:t>&lt;.0001</w:t>
            </w:r>
          </w:p>
        </w:tc>
        <w:tc>
          <w:tcPr>
            <w:tcW w:w="386" w:type="pct"/>
          </w:tcPr>
          <w:p w14:paraId="2C63E38F" w14:textId="77777777" w:rsidR="002163B7" w:rsidRPr="002163B7" w:rsidRDefault="002163B7" w:rsidP="002163B7">
            <w:pPr>
              <w:rPr>
                <w:rFonts w:cs="Arial"/>
                <w:bCs/>
                <w:szCs w:val="16"/>
              </w:rPr>
            </w:pPr>
            <w:r w:rsidRPr="002163B7">
              <w:rPr>
                <w:rFonts w:cs="Arial"/>
                <w:bCs/>
                <w:szCs w:val="16"/>
              </w:rPr>
              <w:t>YES</w:t>
            </w:r>
          </w:p>
        </w:tc>
        <w:tc>
          <w:tcPr>
            <w:tcW w:w="575" w:type="pct"/>
          </w:tcPr>
          <w:p w14:paraId="0F1DAEAF" w14:textId="77777777" w:rsidR="002163B7" w:rsidRPr="002163B7" w:rsidRDefault="002163B7" w:rsidP="002163B7">
            <w:pPr>
              <w:rPr>
                <w:rFonts w:cs="Arial"/>
                <w:bCs/>
                <w:szCs w:val="16"/>
              </w:rPr>
            </w:pPr>
            <w:r w:rsidRPr="002163B7">
              <w:rPr>
                <w:rFonts w:cs="Arial"/>
                <w:bCs/>
                <w:szCs w:val="16"/>
              </w:rPr>
              <w:t>0</w:t>
            </w:r>
          </w:p>
        </w:tc>
      </w:tr>
    </w:tbl>
    <w:p w14:paraId="579D8CFB" w14:textId="77777777" w:rsidR="002163B7" w:rsidRPr="002163B7" w:rsidRDefault="002163B7" w:rsidP="002163B7">
      <w:pPr>
        <w:rPr>
          <w:rFonts w:cs="Arial"/>
          <w:b/>
          <w:szCs w:val="16"/>
        </w:rPr>
      </w:pPr>
    </w:p>
    <w:tbl>
      <w:tblPr>
        <w:tblStyle w:val="TableGrid1"/>
        <w:tblW w:w="10898" w:type="dxa"/>
        <w:tblLook w:val="04A0" w:firstRow="1" w:lastRow="0" w:firstColumn="1" w:lastColumn="0" w:noHBand="0" w:noVBand="1"/>
        <w:tblCaption w:val="C03SSCOYTYFNL"/>
      </w:tblPr>
      <w:tblGrid>
        <w:gridCol w:w="5449"/>
        <w:gridCol w:w="5449"/>
      </w:tblGrid>
      <w:tr w:rsidR="002163B7" w:rsidRPr="002163B7" w14:paraId="5F238957" w14:textId="77777777" w:rsidTr="008F04FB">
        <w:trPr>
          <w:trHeight w:val="314"/>
        </w:trPr>
        <w:tc>
          <w:tcPr>
            <w:tcW w:w="5449" w:type="dxa"/>
          </w:tcPr>
          <w:p w14:paraId="523669F3" w14:textId="77777777" w:rsidR="002163B7" w:rsidRPr="002163B7" w:rsidRDefault="002163B7" w:rsidP="002163B7">
            <w:pPr>
              <w:rPr>
                <w:rFonts w:cs="Arial"/>
                <w:b/>
                <w:bCs/>
                <w:szCs w:val="16"/>
              </w:rPr>
            </w:pPr>
            <w:r w:rsidRPr="002163B7">
              <w:rPr>
                <w:rFonts w:cs="Arial"/>
                <w:b/>
                <w:bCs/>
                <w:szCs w:val="16"/>
              </w:rPr>
              <w:t>Total Points Across SS1 and SS2</w:t>
            </w:r>
          </w:p>
        </w:tc>
        <w:tc>
          <w:tcPr>
            <w:tcW w:w="5449" w:type="dxa"/>
          </w:tcPr>
          <w:p w14:paraId="0C8B82BF" w14:textId="3C567D8C" w:rsidR="002163B7" w:rsidRPr="002163B7" w:rsidRDefault="002163B7" w:rsidP="002163B7">
            <w:pPr>
              <w:rPr>
                <w:rFonts w:cs="Arial"/>
                <w:b/>
                <w:bCs/>
                <w:szCs w:val="16"/>
              </w:rPr>
            </w:pPr>
            <w:r w:rsidRPr="002163B7">
              <w:rPr>
                <w:rFonts w:cs="Arial"/>
                <w:b/>
                <w:bCs/>
                <w:szCs w:val="16"/>
              </w:rPr>
              <w:t>5</w:t>
            </w:r>
          </w:p>
        </w:tc>
      </w:tr>
    </w:tbl>
    <w:p w14:paraId="7158B208" w14:textId="77777777" w:rsidR="002163B7" w:rsidRPr="002163B7" w:rsidRDefault="002163B7" w:rsidP="002163B7">
      <w:pPr>
        <w:rPr>
          <w:rFonts w:cs="Arial"/>
          <w:b/>
          <w:szCs w:val="16"/>
        </w:rPr>
      </w:pPr>
    </w:p>
    <w:tbl>
      <w:tblPr>
        <w:tblStyle w:val="TableGrid1"/>
        <w:tblW w:w="10909" w:type="dxa"/>
        <w:tblLook w:val="04A0" w:firstRow="1" w:lastRow="0" w:firstColumn="1" w:lastColumn="0" w:noHBand="0" w:noVBand="1"/>
        <w:tblCaption w:val="C03STEPRMFNL"/>
      </w:tblPr>
      <w:tblGrid>
        <w:gridCol w:w="5440"/>
        <w:gridCol w:w="5469"/>
      </w:tblGrid>
      <w:tr w:rsidR="002163B7" w:rsidRPr="002163B7" w14:paraId="24A56F99" w14:textId="77777777" w:rsidTr="008F04FB">
        <w:trPr>
          <w:trHeight w:val="342"/>
        </w:trPr>
        <w:tc>
          <w:tcPr>
            <w:tcW w:w="5440" w:type="dxa"/>
          </w:tcPr>
          <w:p w14:paraId="72B2DE88" w14:textId="77777777" w:rsidR="002163B7" w:rsidRPr="002163B7" w:rsidRDefault="002163B7" w:rsidP="002163B7">
            <w:pPr>
              <w:rPr>
                <w:rFonts w:cs="Arial"/>
                <w:b/>
                <w:bCs/>
                <w:szCs w:val="16"/>
              </w:rPr>
            </w:pPr>
            <w:r w:rsidRPr="002163B7">
              <w:rPr>
                <w:rFonts w:cs="Arial"/>
                <w:b/>
                <w:bCs/>
                <w:szCs w:val="16"/>
              </w:rPr>
              <w:t>Your State’s Performance Change Score</w:t>
            </w:r>
          </w:p>
        </w:tc>
        <w:tc>
          <w:tcPr>
            <w:tcW w:w="5469" w:type="dxa"/>
          </w:tcPr>
          <w:p w14:paraId="530FEA89" w14:textId="77BEFD58" w:rsidR="002163B7" w:rsidRPr="002163B7" w:rsidRDefault="002163B7" w:rsidP="002163B7">
            <w:pPr>
              <w:rPr>
                <w:rFonts w:cs="Arial"/>
                <w:b/>
                <w:bCs/>
                <w:szCs w:val="16"/>
              </w:rPr>
            </w:pPr>
            <w:r w:rsidRPr="002163B7">
              <w:rPr>
                <w:rFonts w:cs="Arial"/>
                <w:b/>
                <w:bCs/>
                <w:szCs w:val="16"/>
              </w:rPr>
              <w:t>1</w:t>
            </w:r>
          </w:p>
        </w:tc>
      </w:tr>
    </w:tbl>
    <w:p w14:paraId="568AEF09" w14:textId="77777777" w:rsidR="00A241E8" w:rsidRDefault="00A241E8">
      <w:pPr>
        <w:spacing w:before="0" w:after="200" w:line="276" w:lineRule="auto"/>
      </w:pPr>
      <w:r>
        <w:br w:type="page"/>
      </w:r>
    </w:p>
    <w:p w14:paraId="095BF10D" w14:textId="6E117F05" w:rsidR="000135C2" w:rsidRDefault="000135C2" w:rsidP="000135C2">
      <w:pPr>
        <w:pStyle w:val="Heading2"/>
      </w:pPr>
      <w:r w:rsidRPr="003E43D9">
        <w:lastRenderedPageBreak/>
        <w:t>Data Rubric</w:t>
      </w:r>
    </w:p>
    <w:p w14:paraId="0AB4D663" w14:textId="77777777" w:rsidR="000D7F9F" w:rsidRPr="000D7F9F" w:rsidRDefault="000D7F9F" w:rsidP="000D7F9F">
      <w:pPr>
        <w:rPr>
          <w:b/>
          <w:bCs/>
          <w:sz w:val="18"/>
          <w:szCs w:val="18"/>
        </w:rPr>
      </w:pPr>
      <w:r w:rsidRPr="000D7F9F">
        <w:rPr>
          <w:b/>
          <w:bCs/>
          <w:sz w:val="18"/>
          <w:szCs w:val="18"/>
        </w:rPr>
        <w:t>Nevada</w:t>
      </w:r>
    </w:p>
    <w:p w14:paraId="4FA14AEC" w14:textId="77777777" w:rsidR="00BB2AAF" w:rsidRDefault="00BB2AAF" w:rsidP="00976350">
      <w:pPr>
        <w:rPr>
          <w:b/>
          <w:bCs/>
        </w:rPr>
      </w:pPr>
    </w:p>
    <w:p w14:paraId="60B91978" w14:textId="0490E4C6" w:rsidR="00DC6D97" w:rsidRPr="004227F4" w:rsidRDefault="003445A2" w:rsidP="00976350">
      <w:pPr>
        <w:rPr>
          <w:b/>
          <w:bCs/>
          <w:szCs w:val="16"/>
        </w:rPr>
      </w:pPr>
      <w:r w:rsidRPr="006B69D7">
        <w:rPr>
          <w:b/>
          <w:bCs/>
        </w:rPr>
        <w:t>FFY 2</w:t>
      </w:r>
      <w:r w:rsidRPr="004227F4">
        <w:rPr>
          <w:b/>
          <w:bCs/>
          <w:szCs w:val="16"/>
        </w:rPr>
        <w:t>02</w:t>
      </w:r>
      <w:r w:rsidR="00DA71D7" w:rsidRPr="004227F4">
        <w:rPr>
          <w:b/>
          <w:bCs/>
          <w:szCs w:val="16"/>
        </w:rPr>
        <w:t>2</w:t>
      </w:r>
      <w:r w:rsidRPr="004227F4">
        <w:rPr>
          <w:b/>
          <w:bCs/>
          <w:szCs w:val="16"/>
        </w:rPr>
        <w:t xml:space="preserve"> APR</w:t>
      </w:r>
      <w:r w:rsidR="009D31F8" w:rsidRPr="004227F4">
        <w:rPr>
          <w:b/>
          <w:bCs/>
          <w:szCs w:val="16"/>
        </w:rPr>
        <w:t xml:space="preserve"> </w:t>
      </w:r>
      <w:r w:rsidR="004227F4" w:rsidRPr="004227F4">
        <w:rPr>
          <w:szCs w:val="16"/>
        </w:rPr>
        <w:t>(1)</w:t>
      </w:r>
    </w:p>
    <w:p w14:paraId="523D5377" w14:textId="134AB56B"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7644F667" w14:textId="77777777" w:rsidTr="005032AF">
        <w:trPr>
          <w:trHeight w:val="440"/>
        </w:trPr>
        <w:tc>
          <w:tcPr>
            <w:tcW w:w="1866" w:type="dxa"/>
            <w:vAlign w:val="center"/>
            <w:hideMark/>
          </w:tcPr>
          <w:p w14:paraId="668AD22D"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6ADF17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0A1582BB"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4BDCC11C" w14:textId="77777777" w:rsidTr="005032AF">
        <w:trPr>
          <w:trHeight w:val="440"/>
        </w:trPr>
        <w:tc>
          <w:tcPr>
            <w:tcW w:w="1866" w:type="dxa"/>
            <w:vAlign w:val="center"/>
            <w:hideMark/>
          </w:tcPr>
          <w:p w14:paraId="4EADCFA5" w14:textId="4576C419"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7D03BB17" w14:textId="1F605F9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32D4C82" w14:textId="723349EC" w:rsidR="00CC21DE" w:rsidRPr="00210AC6" w:rsidRDefault="00CC21DE" w:rsidP="00A47616">
            <w:pPr>
              <w:spacing w:before="0" w:after="0"/>
              <w:jc w:val="center"/>
              <w:rPr>
                <w:rFonts w:eastAsia="Times New Roman" w:cs="Arial"/>
                <w:szCs w:val="16"/>
              </w:rPr>
            </w:pPr>
            <w:r>
              <w:t>1</w:t>
            </w:r>
          </w:p>
        </w:tc>
      </w:tr>
      <w:tr w:rsidR="00CC21DE" w:rsidRPr="00210AC6" w14:paraId="253B684B" w14:textId="77777777" w:rsidTr="005032AF">
        <w:trPr>
          <w:trHeight w:val="440"/>
        </w:trPr>
        <w:tc>
          <w:tcPr>
            <w:tcW w:w="1866" w:type="dxa"/>
            <w:vAlign w:val="center"/>
            <w:hideMark/>
          </w:tcPr>
          <w:p w14:paraId="6EE93D9D" w14:textId="5987E4C1"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04EDA633" w14:textId="3B3AC7E9"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C0DB73D" w14:textId="27A8A3B6" w:rsidR="00CC21DE" w:rsidRPr="00210AC6" w:rsidRDefault="00CC21DE" w:rsidP="00A47616">
            <w:pPr>
              <w:spacing w:before="0" w:after="0"/>
              <w:jc w:val="center"/>
              <w:rPr>
                <w:rFonts w:eastAsia="Times New Roman" w:cs="Arial"/>
                <w:szCs w:val="16"/>
              </w:rPr>
            </w:pPr>
            <w:r>
              <w:t>1</w:t>
            </w:r>
          </w:p>
        </w:tc>
      </w:tr>
      <w:tr w:rsidR="00CC21DE" w:rsidRPr="00210AC6" w14:paraId="4D7B3C27" w14:textId="77777777" w:rsidTr="005032AF">
        <w:trPr>
          <w:trHeight w:val="440"/>
        </w:trPr>
        <w:tc>
          <w:tcPr>
            <w:tcW w:w="1866" w:type="dxa"/>
            <w:vAlign w:val="center"/>
            <w:hideMark/>
          </w:tcPr>
          <w:p w14:paraId="731CC382" w14:textId="67E6F435"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31855042" w14:textId="729A0E9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264BB88" w14:textId="2D0CB2F7" w:rsidR="00CC21DE" w:rsidRPr="00210AC6" w:rsidRDefault="00CC21DE" w:rsidP="00A47616">
            <w:pPr>
              <w:spacing w:before="0" w:after="0"/>
              <w:jc w:val="center"/>
              <w:rPr>
                <w:rFonts w:eastAsia="Times New Roman" w:cs="Arial"/>
                <w:szCs w:val="16"/>
              </w:rPr>
            </w:pPr>
            <w:r>
              <w:t>1</w:t>
            </w:r>
          </w:p>
        </w:tc>
      </w:tr>
      <w:tr w:rsidR="00CC21DE" w:rsidRPr="00210AC6" w14:paraId="6F6A3652" w14:textId="77777777" w:rsidTr="005032AF">
        <w:trPr>
          <w:trHeight w:val="440"/>
        </w:trPr>
        <w:tc>
          <w:tcPr>
            <w:tcW w:w="1866" w:type="dxa"/>
            <w:vAlign w:val="center"/>
            <w:hideMark/>
          </w:tcPr>
          <w:p w14:paraId="0BBF85A7" w14:textId="2C95623C"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4D771735" w14:textId="6E815A8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CC2274A" w14:textId="6ACC931F" w:rsidR="00CC21DE" w:rsidRPr="00210AC6" w:rsidRDefault="00CC21DE" w:rsidP="00A47616">
            <w:pPr>
              <w:spacing w:before="0" w:after="0"/>
              <w:jc w:val="center"/>
              <w:rPr>
                <w:rFonts w:eastAsia="Times New Roman" w:cs="Arial"/>
                <w:szCs w:val="16"/>
              </w:rPr>
            </w:pPr>
            <w:r>
              <w:t>1</w:t>
            </w:r>
          </w:p>
        </w:tc>
      </w:tr>
      <w:tr w:rsidR="00CC21DE" w:rsidRPr="00210AC6" w14:paraId="18A61206" w14:textId="77777777" w:rsidTr="005032AF">
        <w:trPr>
          <w:trHeight w:val="440"/>
        </w:trPr>
        <w:tc>
          <w:tcPr>
            <w:tcW w:w="1866" w:type="dxa"/>
            <w:vAlign w:val="center"/>
            <w:hideMark/>
          </w:tcPr>
          <w:p w14:paraId="58B2CC1E" w14:textId="155AF1A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5E4D7D21" w14:textId="53363ECC"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DC639D9" w14:textId="1B748DB6" w:rsidR="00CC21DE" w:rsidRPr="00210AC6" w:rsidRDefault="00CC21DE" w:rsidP="00A47616">
            <w:pPr>
              <w:spacing w:before="0" w:after="0"/>
              <w:jc w:val="center"/>
              <w:rPr>
                <w:rFonts w:eastAsia="Times New Roman" w:cs="Arial"/>
                <w:szCs w:val="16"/>
              </w:rPr>
            </w:pPr>
            <w:r>
              <w:t>1</w:t>
            </w:r>
          </w:p>
        </w:tc>
      </w:tr>
      <w:tr w:rsidR="00CC21DE" w:rsidRPr="00210AC6" w14:paraId="6B821000" w14:textId="77777777" w:rsidTr="005032AF">
        <w:trPr>
          <w:trHeight w:val="440"/>
        </w:trPr>
        <w:tc>
          <w:tcPr>
            <w:tcW w:w="1866" w:type="dxa"/>
            <w:vAlign w:val="center"/>
            <w:hideMark/>
          </w:tcPr>
          <w:p w14:paraId="360E4201" w14:textId="4AC81051"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5C06E153" w14:textId="0DD158F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FF1981" w14:textId="385CBECF" w:rsidR="00CC21DE" w:rsidRPr="00210AC6" w:rsidRDefault="00CC21DE" w:rsidP="00A47616">
            <w:pPr>
              <w:spacing w:before="0" w:after="0"/>
              <w:jc w:val="center"/>
              <w:rPr>
                <w:rFonts w:eastAsia="Times New Roman" w:cs="Arial"/>
                <w:szCs w:val="16"/>
              </w:rPr>
            </w:pPr>
            <w:r>
              <w:t>1</w:t>
            </w:r>
          </w:p>
        </w:tc>
      </w:tr>
      <w:tr w:rsidR="00CC21DE" w:rsidRPr="00210AC6" w14:paraId="21E963EB" w14:textId="77777777" w:rsidTr="005032AF">
        <w:trPr>
          <w:trHeight w:val="440"/>
        </w:trPr>
        <w:tc>
          <w:tcPr>
            <w:tcW w:w="1866" w:type="dxa"/>
            <w:vAlign w:val="center"/>
            <w:hideMark/>
          </w:tcPr>
          <w:p w14:paraId="77ACBB4B" w14:textId="04E52CA3"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389A30A5" w14:textId="10E8F4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490249" w14:textId="78496123" w:rsidR="00CC21DE" w:rsidRPr="00210AC6" w:rsidRDefault="00CC21DE" w:rsidP="00A47616">
            <w:pPr>
              <w:spacing w:before="0" w:after="0"/>
              <w:jc w:val="center"/>
              <w:rPr>
                <w:rFonts w:eastAsia="Times New Roman" w:cs="Arial"/>
                <w:szCs w:val="16"/>
              </w:rPr>
            </w:pPr>
            <w:r>
              <w:t>1</w:t>
            </w:r>
          </w:p>
        </w:tc>
      </w:tr>
      <w:tr w:rsidR="00CC21DE" w:rsidRPr="00210AC6" w14:paraId="67AE1B08" w14:textId="77777777" w:rsidTr="005032AF">
        <w:trPr>
          <w:trHeight w:val="440"/>
        </w:trPr>
        <w:tc>
          <w:tcPr>
            <w:tcW w:w="1866" w:type="dxa"/>
            <w:vAlign w:val="center"/>
            <w:hideMark/>
          </w:tcPr>
          <w:p w14:paraId="11AAE718" w14:textId="731967D2"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64704A73" w14:textId="5122FE92"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2E50999" w14:textId="235E56C6" w:rsidR="00CC21DE" w:rsidRPr="00210AC6" w:rsidRDefault="00CC21DE" w:rsidP="00A47616">
            <w:pPr>
              <w:spacing w:before="0" w:after="0"/>
              <w:jc w:val="center"/>
              <w:rPr>
                <w:rFonts w:eastAsia="Times New Roman" w:cs="Arial"/>
                <w:szCs w:val="16"/>
              </w:rPr>
            </w:pPr>
            <w:r>
              <w:t>1</w:t>
            </w:r>
          </w:p>
        </w:tc>
      </w:tr>
      <w:tr w:rsidR="00CC21DE" w:rsidRPr="00210AC6" w14:paraId="3C6FF3D3" w14:textId="77777777" w:rsidTr="005032AF">
        <w:trPr>
          <w:trHeight w:val="440"/>
        </w:trPr>
        <w:tc>
          <w:tcPr>
            <w:tcW w:w="1866" w:type="dxa"/>
            <w:vAlign w:val="center"/>
            <w:hideMark/>
          </w:tcPr>
          <w:p w14:paraId="1D4FE3B1" w14:textId="0AD54464"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1CDEB25A" w14:textId="2B2540E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66CF140" w14:textId="59248533" w:rsidR="00CC21DE" w:rsidRPr="00210AC6" w:rsidRDefault="00CC21DE" w:rsidP="00A47616">
            <w:pPr>
              <w:spacing w:before="0" w:after="0"/>
              <w:jc w:val="center"/>
              <w:rPr>
                <w:rFonts w:eastAsia="Times New Roman" w:cs="Arial"/>
                <w:szCs w:val="16"/>
              </w:rPr>
            </w:pPr>
            <w:r>
              <w:t>1</w:t>
            </w:r>
          </w:p>
        </w:tc>
      </w:tr>
      <w:tr w:rsidR="00CC21DE" w:rsidRPr="00210AC6" w14:paraId="714ABEFF" w14:textId="77777777" w:rsidTr="005032AF">
        <w:trPr>
          <w:trHeight w:val="440"/>
        </w:trPr>
        <w:tc>
          <w:tcPr>
            <w:tcW w:w="1866" w:type="dxa"/>
            <w:vAlign w:val="center"/>
            <w:hideMark/>
          </w:tcPr>
          <w:p w14:paraId="2DE9BBBF" w14:textId="3EDDDE66"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7AD45CE9" w14:textId="7EBDB56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FFD3E45" w14:textId="2ED2B025" w:rsidR="00CC21DE" w:rsidRPr="00210AC6" w:rsidRDefault="00CC21DE" w:rsidP="00A47616">
            <w:pPr>
              <w:spacing w:before="0" w:after="0"/>
              <w:jc w:val="center"/>
              <w:rPr>
                <w:rFonts w:eastAsia="Times New Roman" w:cs="Arial"/>
                <w:szCs w:val="16"/>
              </w:rPr>
            </w:pPr>
            <w:r>
              <w:t>1</w:t>
            </w:r>
          </w:p>
        </w:tc>
      </w:tr>
      <w:tr w:rsidR="00CC21DE" w:rsidRPr="00210AC6" w14:paraId="6752A9E2" w14:textId="77777777" w:rsidTr="005032AF">
        <w:trPr>
          <w:trHeight w:val="440"/>
        </w:trPr>
        <w:tc>
          <w:tcPr>
            <w:tcW w:w="1866" w:type="dxa"/>
            <w:vAlign w:val="center"/>
            <w:hideMark/>
          </w:tcPr>
          <w:p w14:paraId="5B8E25FC" w14:textId="43BDFD13"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77541D5E" w14:textId="1ED641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0F7A3C5" w14:textId="487A1B59" w:rsidR="00CC21DE" w:rsidRPr="00210AC6" w:rsidRDefault="00CC21DE" w:rsidP="00A47616">
            <w:pPr>
              <w:spacing w:before="0" w:after="0"/>
              <w:jc w:val="center"/>
              <w:rPr>
                <w:rFonts w:eastAsia="Times New Roman" w:cs="Arial"/>
                <w:szCs w:val="16"/>
              </w:rPr>
            </w:pPr>
            <w:r>
              <w:t>1</w:t>
            </w:r>
          </w:p>
        </w:tc>
      </w:tr>
      <w:tr w:rsidR="00CC21DE" w:rsidRPr="00210AC6" w14:paraId="34EBFDBF" w14:textId="77777777" w:rsidTr="005032AF">
        <w:trPr>
          <w:trHeight w:val="440"/>
        </w:trPr>
        <w:tc>
          <w:tcPr>
            <w:tcW w:w="1866" w:type="dxa"/>
            <w:vAlign w:val="center"/>
            <w:hideMark/>
          </w:tcPr>
          <w:p w14:paraId="694C43E7" w14:textId="7D710058"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2DD5D7F9" w14:textId="6897ADA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FCB4A3D" w14:textId="0B793628" w:rsidR="00CC21DE" w:rsidRPr="00210AC6" w:rsidRDefault="00CC21DE" w:rsidP="00A47616">
            <w:pPr>
              <w:spacing w:before="0" w:after="0"/>
              <w:jc w:val="center"/>
              <w:rPr>
                <w:rFonts w:eastAsia="Times New Roman" w:cs="Arial"/>
                <w:szCs w:val="16"/>
              </w:rPr>
            </w:pPr>
            <w:r>
              <w:t>1</w:t>
            </w:r>
          </w:p>
        </w:tc>
      </w:tr>
      <w:tr w:rsidR="00CC21DE" w:rsidRPr="00210AC6" w14:paraId="03742C31" w14:textId="77777777" w:rsidTr="005032AF">
        <w:trPr>
          <w:trHeight w:val="440"/>
        </w:trPr>
        <w:tc>
          <w:tcPr>
            <w:tcW w:w="1866" w:type="dxa"/>
            <w:vAlign w:val="center"/>
            <w:hideMark/>
          </w:tcPr>
          <w:p w14:paraId="5C725E54" w14:textId="410E1E21"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2A99A378" w14:textId="6A33E94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320FC19" w14:textId="02021ABF" w:rsidR="00CC21DE" w:rsidRPr="00210AC6" w:rsidRDefault="00CC21DE" w:rsidP="00A47616">
            <w:pPr>
              <w:spacing w:before="0" w:after="0"/>
              <w:jc w:val="center"/>
              <w:rPr>
                <w:rFonts w:eastAsia="Times New Roman" w:cs="Arial"/>
                <w:szCs w:val="16"/>
              </w:rPr>
            </w:pPr>
            <w:r>
              <w:t>1</w:t>
            </w:r>
          </w:p>
        </w:tc>
      </w:tr>
    </w:tbl>
    <w:p w14:paraId="4A115913" w14:textId="7D7F5D85" w:rsidR="00AA07A0" w:rsidRDefault="00AA07A0" w:rsidP="000135C2">
      <w:pPr>
        <w:rPr>
          <w:rFonts w:cs="Arial"/>
          <w:szCs w:val="16"/>
        </w:rPr>
      </w:pPr>
    </w:p>
    <w:p w14:paraId="798FD527" w14:textId="5EBC6C51"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4CB6C2A9" w14:textId="77777777" w:rsidTr="009D31F8">
        <w:trPr>
          <w:trHeight w:val="440"/>
        </w:trPr>
        <w:tc>
          <w:tcPr>
            <w:tcW w:w="7105" w:type="dxa"/>
            <w:vAlign w:val="center"/>
            <w:hideMark/>
          </w:tcPr>
          <w:p w14:paraId="3BBF0B93"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2B2BDC7F" w14:textId="77777777" w:rsidR="009D31F8" w:rsidRPr="00210AC6" w:rsidRDefault="009D31F8" w:rsidP="00B02EBE">
            <w:pPr>
              <w:spacing w:before="0" w:after="0"/>
              <w:jc w:val="center"/>
              <w:rPr>
                <w:rFonts w:eastAsia="Times New Roman" w:cs="Arial"/>
                <w:szCs w:val="16"/>
              </w:rPr>
            </w:pPr>
            <w:r>
              <w:t>13</w:t>
            </w:r>
          </w:p>
        </w:tc>
      </w:tr>
      <w:tr w:rsidR="009D31F8" w:rsidRPr="00210AC6" w14:paraId="11D30516" w14:textId="77777777" w:rsidTr="009D31F8">
        <w:trPr>
          <w:trHeight w:val="735"/>
        </w:trPr>
        <w:tc>
          <w:tcPr>
            <w:tcW w:w="7105" w:type="dxa"/>
            <w:vAlign w:val="center"/>
            <w:hideMark/>
          </w:tcPr>
          <w:p w14:paraId="0B6B62AD" w14:textId="77777777" w:rsidR="009D31F8" w:rsidRPr="00210AC6" w:rsidRDefault="009D31F8" w:rsidP="00B02EBE">
            <w:pPr>
              <w:spacing w:before="0" w:after="0"/>
              <w:rPr>
                <w:rFonts w:eastAsia="Times New Roman" w:cs="Arial"/>
                <w:b/>
                <w:bCs/>
                <w:szCs w:val="16"/>
              </w:rPr>
            </w:pPr>
            <w:r w:rsidRPr="00210AC6">
              <w:rPr>
                <w:rFonts w:eastAsia="Times New Roman" w:cs="Arial"/>
                <w:b/>
                <w:bCs/>
                <w:szCs w:val="16"/>
              </w:rPr>
              <w:t xml:space="preserve">Timely Submission Points </w:t>
            </w:r>
            <w:proofErr w:type="gramStart"/>
            <w:r w:rsidRPr="00210AC6">
              <w:rPr>
                <w:rFonts w:eastAsia="Times New Roman" w:cs="Arial"/>
                <w:szCs w:val="16"/>
              </w:rPr>
              <w:t>-  If</w:t>
            </w:r>
            <w:proofErr w:type="gramEnd"/>
            <w:r w:rsidRPr="00210AC6">
              <w:rPr>
                <w:rFonts w:eastAsia="Times New Roman" w:cs="Arial"/>
                <w:szCs w:val="16"/>
              </w:rPr>
              <w:t xml:space="preserve"> the FFY 202</w:t>
            </w:r>
            <w:r>
              <w:rPr>
                <w:rFonts w:eastAsia="Times New Roman" w:cs="Arial"/>
                <w:szCs w:val="16"/>
              </w:rPr>
              <w:t>2</w:t>
            </w:r>
            <w:r w:rsidRPr="00210AC6">
              <w:rPr>
                <w:rFonts w:eastAsia="Times New Roman" w:cs="Arial"/>
                <w:szCs w:val="16"/>
              </w:rPr>
              <w:t xml:space="preserve"> APR was submitted  on-time, place the number 5 in the cell on the right.</w:t>
            </w:r>
          </w:p>
        </w:tc>
        <w:tc>
          <w:tcPr>
            <w:tcW w:w="2700" w:type="dxa"/>
            <w:vAlign w:val="center"/>
            <w:hideMark/>
          </w:tcPr>
          <w:p w14:paraId="31B542DE" w14:textId="77777777" w:rsidR="009D31F8" w:rsidRPr="00210AC6" w:rsidRDefault="009D31F8" w:rsidP="00B02EBE">
            <w:pPr>
              <w:spacing w:before="0" w:after="0"/>
              <w:jc w:val="center"/>
              <w:rPr>
                <w:rFonts w:eastAsia="Times New Roman" w:cs="Arial"/>
                <w:szCs w:val="16"/>
              </w:rPr>
            </w:pPr>
            <w:r>
              <w:t>5</w:t>
            </w:r>
          </w:p>
        </w:tc>
      </w:tr>
      <w:tr w:rsidR="009D31F8" w:rsidRPr="00210AC6" w14:paraId="6DEBB32D" w14:textId="77777777" w:rsidTr="009D31F8">
        <w:trPr>
          <w:trHeight w:val="485"/>
        </w:trPr>
        <w:tc>
          <w:tcPr>
            <w:tcW w:w="7105" w:type="dxa"/>
            <w:vAlign w:val="center"/>
            <w:hideMark/>
          </w:tcPr>
          <w:p w14:paraId="52ACEE56" w14:textId="77777777" w:rsidR="009D31F8" w:rsidRPr="00210AC6" w:rsidRDefault="009D31F8" w:rsidP="00B02EBE">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4F403986" w14:textId="77777777" w:rsidR="009D31F8" w:rsidRPr="00210AC6" w:rsidRDefault="009D31F8" w:rsidP="00B02EBE">
            <w:pPr>
              <w:spacing w:before="0" w:after="0"/>
              <w:jc w:val="center"/>
              <w:rPr>
                <w:rFonts w:eastAsia="Times New Roman" w:cs="Arial"/>
                <w:szCs w:val="16"/>
              </w:rPr>
            </w:pPr>
            <w:r>
              <w:t>18</w:t>
            </w:r>
          </w:p>
        </w:tc>
      </w:tr>
    </w:tbl>
    <w:p w14:paraId="78C39D50" w14:textId="77777777" w:rsidR="009D31F8" w:rsidRDefault="009D31F8" w:rsidP="000135C2">
      <w:pPr>
        <w:rPr>
          <w:rFonts w:cs="Arial"/>
          <w:szCs w:val="16"/>
        </w:rPr>
      </w:pPr>
    </w:p>
    <w:p w14:paraId="5473235D" w14:textId="77777777" w:rsidR="00747E4D" w:rsidRDefault="009D31F8" w:rsidP="00D731C8">
      <w:pPr>
        <w:rPr>
          <w:b/>
          <w:bCs/>
        </w:rPr>
      </w:pPr>
      <w:r w:rsidRPr="00D731C8">
        <w:rPr>
          <w:b/>
          <w:bCs/>
        </w:rPr>
        <w:t xml:space="preserve">(1) In the SPP/APR Data table, where there is an N/A in the Valid and Reliable column, the Total column will display a 0. This is a change from prior years in display only; all calculation methods are unchanged. An N/A does not negatively affect a </w:t>
      </w:r>
      <w:proofErr w:type="gramStart"/>
      <w:r w:rsidRPr="00D731C8">
        <w:rPr>
          <w:b/>
          <w:bCs/>
        </w:rPr>
        <w:t>State's</w:t>
      </w:r>
      <w:proofErr w:type="gramEnd"/>
      <w:r w:rsidRPr="00D731C8">
        <w:rPr>
          <w:b/>
          <w:bCs/>
        </w:rPr>
        <w:t xml:space="preserve"> score; this is because 1 point is subtracted from the Denominator in the Indicator Calculation table for each cell marked as N/A in the SPP/APR Data table.</w:t>
      </w:r>
    </w:p>
    <w:p w14:paraId="1A33A264" w14:textId="49E0E9B8" w:rsidR="00AA07A0" w:rsidRPr="00D731C8" w:rsidRDefault="00AA07A0" w:rsidP="00D731C8">
      <w:pPr>
        <w:rPr>
          <w:rFonts w:cs="Arial"/>
          <w:b/>
          <w:bCs/>
          <w:szCs w:val="16"/>
        </w:rPr>
      </w:pPr>
      <w:r w:rsidRPr="00D731C8">
        <w:rPr>
          <w:rFonts w:cs="Arial"/>
          <w:b/>
          <w:bCs/>
          <w:szCs w:val="16"/>
        </w:rPr>
        <w:br w:type="page"/>
      </w:r>
    </w:p>
    <w:p w14:paraId="7B476875" w14:textId="56179E3E" w:rsidR="00F2466D" w:rsidRPr="009D31F8" w:rsidRDefault="009D31F8" w:rsidP="000135C2">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7DB9D813" w14:textId="77777777" w:rsidTr="005032AF">
        <w:trPr>
          <w:trHeight w:val="458"/>
        </w:trPr>
        <w:tc>
          <w:tcPr>
            <w:tcW w:w="1968" w:type="dxa"/>
            <w:vAlign w:val="center"/>
            <w:hideMark/>
          </w:tcPr>
          <w:p w14:paraId="044FBB2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1CB633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72A92617"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5E2731A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20A8907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6B304846" w14:textId="77777777" w:rsidTr="005032AF">
        <w:trPr>
          <w:trHeight w:val="828"/>
        </w:trPr>
        <w:tc>
          <w:tcPr>
            <w:tcW w:w="1968" w:type="dxa"/>
            <w:vAlign w:val="center"/>
            <w:hideMark/>
          </w:tcPr>
          <w:p w14:paraId="5DA3445E" w14:textId="2EC034B7"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8/30/23</w:t>
            </w:r>
          </w:p>
        </w:tc>
        <w:tc>
          <w:tcPr>
            <w:tcW w:w="1968" w:type="dxa"/>
            <w:vAlign w:val="center"/>
            <w:hideMark/>
          </w:tcPr>
          <w:p w14:paraId="5B82A08A" w14:textId="3E25A48E"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D55B888" w14:textId="764AA7F4"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C95108D" w14:textId="6A7A2D0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DA8AE37" w14:textId="0784CDF8" w:rsidR="008558B7" w:rsidRPr="00210AC6" w:rsidRDefault="008558B7" w:rsidP="008558B7">
            <w:pPr>
              <w:spacing w:before="0" w:after="0"/>
              <w:jc w:val="center"/>
              <w:rPr>
                <w:rFonts w:eastAsia="Times New Roman" w:cs="Arial"/>
                <w:b/>
                <w:bCs/>
                <w:szCs w:val="16"/>
              </w:rPr>
            </w:pPr>
            <w:r>
              <w:t>3</w:t>
            </w:r>
          </w:p>
        </w:tc>
      </w:tr>
      <w:tr w:rsidR="008558B7" w:rsidRPr="00210AC6" w14:paraId="716C8A41" w14:textId="77777777" w:rsidTr="005032AF">
        <w:trPr>
          <w:trHeight w:val="828"/>
        </w:trPr>
        <w:tc>
          <w:tcPr>
            <w:tcW w:w="1968" w:type="dxa"/>
            <w:vAlign w:val="center"/>
            <w:hideMark/>
          </w:tcPr>
          <w:p w14:paraId="36518C88" w14:textId="4FF5A8EA" w:rsidR="008558B7" w:rsidRPr="00210AC6" w:rsidRDefault="008558B7" w:rsidP="008558B7">
            <w:pPr>
              <w:spacing w:before="0" w:after="0"/>
              <w:jc w:val="center"/>
              <w:rPr>
                <w:rFonts w:eastAsia="Times New Roman" w:cs="Arial"/>
                <w:b/>
                <w:bCs/>
                <w:szCs w:val="16"/>
              </w:rPr>
            </w:pPr>
            <w:r>
              <w:rPr>
                <w:rFonts w:cs="Arial"/>
                <w:b/>
                <w:bCs/>
              </w:rPr>
              <w:t>Exiting Due Date: 2/21/24</w:t>
            </w:r>
          </w:p>
        </w:tc>
        <w:tc>
          <w:tcPr>
            <w:tcW w:w="1968" w:type="dxa"/>
            <w:vAlign w:val="center"/>
            <w:hideMark/>
          </w:tcPr>
          <w:p w14:paraId="718914D8" w14:textId="02A5EED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2F1A1B3" w14:textId="4D9C140F"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7AD513FC" w14:textId="4590BAEC"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5B6CA115" w14:textId="47FC989A" w:rsidR="008558B7" w:rsidRPr="00210AC6" w:rsidRDefault="008558B7" w:rsidP="008558B7">
            <w:pPr>
              <w:spacing w:before="0" w:after="0"/>
              <w:jc w:val="center"/>
              <w:rPr>
                <w:rFonts w:eastAsia="Times New Roman" w:cs="Arial"/>
                <w:b/>
                <w:bCs/>
                <w:szCs w:val="16"/>
              </w:rPr>
            </w:pPr>
            <w:r>
              <w:t>3</w:t>
            </w:r>
          </w:p>
        </w:tc>
      </w:tr>
      <w:tr w:rsidR="008558B7" w:rsidRPr="00210AC6" w14:paraId="24A33538" w14:textId="77777777" w:rsidTr="005032AF">
        <w:trPr>
          <w:trHeight w:val="828"/>
        </w:trPr>
        <w:tc>
          <w:tcPr>
            <w:tcW w:w="1968" w:type="dxa"/>
            <w:vAlign w:val="center"/>
            <w:hideMark/>
          </w:tcPr>
          <w:p w14:paraId="6C00C178" w14:textId="1E5DF0AD" w:rsidR="008558B7" w:rsidRPr="00210AC6" w:rsidRDefault="008558B7" w:rsidP="008558B7">
            <w:pPr>
              <w:spacing w:before="0" w:after="0"/>
              <w:jc w:val="center"/>
              <w:rPr>
                <w:rFonts w:eastAsia="Times New Roman" w:cs="Arial"/>
                <w:b/>
                <w:bCs/>
                <w:szCs w:val="16"/>
              </w:rPr>
            </w:pPr>
            <w:r>
              <w:rPr>
                <w:rFonts w:cs="Arial"/>
                <w:b/>
                <w:bCs/>
              </w:rPr>
              <w:t>Dispute Resolution Due Date: 11/15/23</w:t>
            </w:r>
          </w:p>
        </w:tc>
        <w:tc>
          <w:tcPr>
            <w:tcW w:w="1968" w:type="dxa"/>
            <w:vAlign w:val="center"/>
            <w:hideMark/>
          </w:tcPr>
          <w:p w14:paraId="740AFB1F" w14:textId="62DE9166"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450CF11" w14:textId="44E6B758"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B24B44B" w14:textId="462122E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A25510E" w14:textId="334DE016" w:rsidR="008558B7" w:rsidRPr="00210AC6" w:rsidRDefault="008558B7" w:rsidP="008558B7">
            <w:pPr>
              <w:spacing w:before="0" w:after="0"/>
              <w:jc w:val="center"/>
              <w:rPr>
                <w:rFonts w:eastAsia="Times New Roman" w:cs="Arial"/>
                <w:b/>
                <w:bCs/>
                <w:szCs w:val="16"/>
              </w:rPr>
            </w:pPr>
            <w:r>
              <w:t>3</w:t>
            </w:r>
          </w:p>
        </w:tc>
      </w:tr>
    </w:tbl>
    <w:p w14:paraId="3067138D" w14:textId="77777777" w:rsidR="000135C2" w:rsidRDefault="000135C2" w:rsidP="000135C2">
      <w:pPr>
        <w:rPr>
          <w:rFonts w:cs="Arial"/>
          <w:color w:val="000000" w:themeColor="text1"/>
          <w:szCs w:val="16"/>
        </w:rPr>
      </w:pPr>
    </w:p>
    <w:p w14:paraId="5B89FD5E" w14:textId="2B441D74" w:rsidR="009D31F8" w:rsidRDefault="009D31F8" w:rsidP="000135C2">
      <w:pPr>
        <w:rPr>
          <w:rFonts w:cs="Arial"/>
          <w:color w:val="000000" w:themeColor="text1"/>
          <w:szCs w:val="16"/>
        </w:rPr>
      </w:pPr>
      <w:r w:rsidRPr="00210AC6">
        <w:rPr>
          <w:rFonts w:eastAsia="Times New Roman" w:cs="Arial"/>
          <w:b/>
          <w:bCs/>
          <w:szCs w:val="16"/>
        </w:rPr>
        <w:t xml:space="preserve">618 </w:t>
      </w:r>
      <w:proofErr w:type="gramStart"/>
      <w:r w:rsidRPr="00210AC6">
        <w:rPr>
          <w:rFonts w:eastAsia="Times New Roman" w:cs="Arial"/>
          <w:b/>
          <w:bCs/>
          <w:szCs w:val="16"/>
        </w:rPr>
        <w:t>Score</w:t>
      </w:r>
      <w:proofErr w:type="gramEnd"/>
      <w:r w:rsidRPr="00210AC6">
        <w:rPr>
          <w:rFonts w:eastAsia="Times New Roman" w:cs="Arial"/>
          <w:b/>
          <w:bCs/>
          <w:szCs w:val="16"/>
        </w:rPr>
        <w:t xml:space="preserv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5D584897" w14:textId="77777777" w:rsidTr="009D31F8">
        <w:trPr>
          <w:trHeight w:val="557"/>
        </w:trPr>
        <w:tc>
          <w:tcPr>
            <w:tcW w:w="7825" w:type="dxa"/>
            <w:vAlign w:val="center"/>
            <w:hideMark/>
          </w:tcPr>
          <w:p w14:paraId="1D64CC0F"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3EF5234E" w14:textId="77777777" w:rsidR="009D31F8" w:rsidRPr="00210AC6" w:rsidRDefault="009D31F8" w:rsidP="00B02EBE">
            <w:pPr>
              <w:spacing w:before="0" w:after="0"/>
              <w:jc w:val="center"/>
              <w:rPr>
                <w:rFonts w:eastAsia="Times New Roman" w:cs="Arial"/>
                <w:szCs w:val="16"/>
              </w:rPr>
            </w:pPr>
            <w:r>
              <w:t>9</w:t>
            </w:r>
          </w:p>
        </w:tc>
      </w:tr>
      <w:tr w:rsidR="009D31F8" w:rsidRPr="00210AC6" w14:paraId="366BAD8E" w14:textId="77777777" w:rsidTr="009D31F8">
        <w:trPr>
          <w:trHeight w:val="530"/>
        </w:trPr>
        <w:tc>
          <w:tcPr>
            <w:tcW w:w="7825" w:type="dxa"/>
            <w:vAlign w:val="center"/>
            <w:hideMark/>
          </w:tcPr>
          <w:p w14:paraId="1EE5C038"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Pr="00210AC6">
              <w:rPr>
                <w:rFonts w:eastAsia="Times New Roman" w:cs="Arial"/>
                <w:szCs w:val="16"/>
              </w:rPr>
              <w:t>) =</w:t>
            </w:r>
          </w:p>
        </w:tc>
        <w:tc>
          <w:tcPr>
            <w:tcW w:w="1973" w:type="dxa"/>
            <w:noWrap/>
            <w:vAlign w:val="center"/>
            <w:hideMark/>
          </w:tcPr>
          <w:p w14:paraId="6F0BE561" w14:textId="77777777" w:rsidR="009D31F8" w:rsidRPr="00210AC6" w:rsidRDefault="009D31F8" w:rsidP="00B02EBE">
            <w:pPr>
              <w:spacing w:before="0" w:after="0"/>
              <w:jc w:val="center"/>
              <w:rPr>
                <w:rFonts w:eastAsia="Times New Roman" w:cs="Arial"/>
                <w:szCs w:val="16"/>
              </w:rPr>
            </w:pPr>
            <w:r>
              <w:t>18.00</w:t>
            </w:r>
          </w:p>
        </w:tc>
      </w:tr>
    </w:tbl>
    <w:p w14:paraId="543038A0" w14:textId="77777777" w:rsidR="009D31F8" w:rsidRPr="00210AC6" w:rsidRDefault="009D31F8" w:rsidP="000135C2">
      <w:pPr>
        <w:rPr>
          <w:rFonts w:cs="Arial"/>
          <w:color w:val="000000" w:themeColor="text1"/>
          <w:szCs w:val="16"/>
        </w:rPr>
      </w:pPr>
    </w:p>
    <w:p w14:paraId="7D65D7B8" w14:textId="4FABBE44"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0B93867F" w14:textId="77777777" w:rsidTr="005032AF">
        <w:trPr>
          <w:trHeight w:val="432"/>
        </w:trPr>
        <w:tc>
          <w:tcPr>
            <w:tcW w:w="5665" w:type="dxa"/>
            <w:vAlign w:val="center"/>
            <w:hideMark/>
          </w:tcPr>
          <w:p w14:paraId="35C234D7"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7671ECBA" w14:textId="73210BF7" w:rsidR="004A2E39" w:rsidRPr="00210AC6" w:rsidRDefault="004A2E39" w:rsidP="005032AF">
            <w:pPr>
              <w:spacing w:before="0" w:after="0"/>
              <w:jc w:val="center"/>
              <w:rPr>
                <w:rFonts w:eastAsia="Times New Roman" w:cs="Arial"/>
                <w:szCs w:val="16"/>
              </w:rPr>
            </w:pPr>
            <w:r>
              <w:t>18</w:t>
            </w:r>
          </w:p>
        </w:tc>
      </w:tr>
      <w:tr w:rsidR="004A2E39" w:rsidRPr="00210AC6" w14:paraId="539166C5" w14:textId="77777777" w:rsidTr="005032AF">
        <w:trPr>
          <w:trHeight w:val="432"/>
        </w:trPr>
        <w:tc>
          <w:tcPr>
            <w:tcW w:w="5665" w:type="dxa"/>
            <w:vAlign w:val="center"/>
            <w:hideMark/>
          </w:tcPr>
          <w:p w14:paraId="359B7168"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275A7042" w14:textId="2B5E9662" w:rsidR="004A2E39" w:rsidRPr="00210AC6" w:rsidRDefault="004A2E39" w:rsidP="005032AF">
            <w:pPr>
              <w:spacing w:before="0" w:after="0"/>
              <w:jc w:val="center"/>
              <w:rPr>
                <w:rFonts w:eastAsia="Times New Roman" w:cs="Arial"/>
                <w:szCs w:val="16"/>
              </w:rPr>
            </w:pPr>
            <w:r>
              <w:t>18.00</w:t>
            </w:r>
          </w:p>
        </w:tc>
      </w:tr>
      <w:tr w:rsidR="004A2E39" w:rsidRPr="00210AC6" w14:paraId="2F0D35A0" w14:textId="77777777" w:rsidTr="005032AF">
        <w:trPr>
          <w:trHeight w:val="432"/>
        </w:trPr>
        <w:tc>
          <w:tcPr>
            <w:tcW w:w="5665" w:type="dxa"/>
            <w:vAlign w:val="center"/>
            <w:hideMark/>
          </w:tcPr>
          <w:p w14:paraId="0C2088C2"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572B3140" w14:textId="766A218C" w:rsidR="004A2E39" w:rsidRPr="00210AC6" w:rsidRDefault="004A2E39" w:rsidP="005032AF">
            <w:pPr>
              <w:spacing w:before="0" w:after="0"/>
              <w:jc w:val="center"/>
              <w:rPr>
                <w:rFonts w:eastAsia="Times New Roman" w:cs="Arial"/>
                <w:szCs w:val="16"/>
              </w:rPr>
            </w:pPr>
            <w:r>
              <w:t>36.00</w:t>
            </w:r>
          </w:p>
        </w:tc>
      </w:tr>
      <w:tr w:rsidR="004A2E39" w:rsidRPr="00210AC6" w14:paraId="66370322" w14:textId="77777777" w:rsidTr="005032AF">
        <w:trPr>
          <w:trHeight w:val="432"/>
        </w:trPr>
        <w:tc>
          <w:tcPr>
            <w:tcW w:w="5665" w:type="dxa"/>
            <w:vAlign w:val="center"/>
            <w:hideMark/>
          </w:tcPr>
          <w:p w14:paraId="28CEF8A5" w14:textId="292AFFF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27258A4A" w14:textId="0023BF2F" w:rsidR="004A2E39" w:rsidRPr="00210AC6" w:rsidRDefault="004A2E39" w:rsidP="005032AF">
            <w:pPr>
              <w:spacing w:before="0" w:after="0"/>
              <w:jc w:val="center"/>
              <w:rPr>
                <w:rFonts w:eastAsia="Times New Roman" w:cs="Arial"/>
                <w:szCs w:val="16"/>
              </w:rPr>
            </w:pPr>
            <w:r>
              <w:t>0</w:t>
            </w:r>
          </w:p>
        </w:tc>
      </w:tr>
      <w:tr w:rsidR="004A2E39" w:rsidRPr="00210AC6" w14:paraId="485AF70A" w14:textId="77777777" w:rsidTr="005032AF">
        <w:trPr>
          <w:trHeight w:val="432"/>
        </w:trPr>
        <w:tc>
          <w:tcPr>
            <w:tcW w:w="5665" w:type="dxa"/>
            <w:vAlign w:val="center"/>
            <w:hideMark/>
          </w:tcPr>
          <w:p w14:paraId="67802FC7" w14:textId="71AA6D63"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3BB5CBDF" w14:textId="56484DCA" w:rsidR="004A2E39" w:rsidRPr="00210AC6" w:rsidRDefault="004A2E39" w:rsidP="005032AF">
            <w:pPr>
              <w:spacing w:before="0" w:after="0"/>
              <w:jc w:val="center"/>
              <w:rPr>
                <w:rFonts w:eastAsia="Times New Roman" w:cs="Arial"/>
                <w:szCs w:val="16"/>
              </w:rPr>
            </w:pPr>
            <w:r>
              <w:t>0.00</w:t>
            </w:r>
          </w:p>
        </w:tc>
      </w:tr>
      <w:tr w:rsidR="004A2E39" w:rsidRPr="00210AC6" w14:paraId="0BAB0C30" w14:textId="77777777" w:rsidTr="005032AF">
        <w:trPr>
          <w:trHeight w:val="432"/>
        </w:trPr>
        <w:tc>
          <w:tcPr>
            <w:tcW w:w="5665" w:type="dxa"/>
            <w:vAlign w:val="center"/>
            <w:hideMark/>
          </w:tcPr>
          <w:p w14:paraId="64C409FB" w14:textId="5C2CBD4A"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4FBFC9BC" w14:textId="04015575" w:rsidR="004A2E39" w:rsidRPr="00210AC6" w:rsidRDefault="004A2E39" w:rsidP="005032AF">
            <w:pPr>
              <w:spacing w:before="0" w:after="0"/>
              <w:jc w:val="center"/>
              <w:rPr>
                <w:rFonts w:eastAsia="Times New Roman" w:cs="Arial"/>
                <w:szCs w:val="16"/>
              </w:rPr>
            </w:pPr>
            <w:r>
              <w:t>36.00</w:t>
            </w:r>
          </w:p>
        </w:tc>
      </w:tr>
      <w:tr w:rsidR="004A2E39" w:rsidRPr="00210AC6" w14:paraId="313D2E20" w14:textId="77777777" w:rsidTr="005032AF">
        <w:trPr>
          <w:trHeight w:val="432"/>
        </w:trPr>
        <w:tc>
          <w:tcPr>
            <w:tcW w:w="5665" w:type="dxa"/>
            <w:vAlign w:val="center"/>
            <w:hideMark/>
          </w:tcPr>
          <w:p w14:paraId="3BFF4D94" w14:textId="3D3D7F14"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4C4FECD3" w14:textId="6A98D3C6" w:rsidR="004A2E39" w:rsidRPr="00210AC6" w:rsidRDefault="004A2E39" w:rsidP="005032AF">
            <w:pPr>
              <w:spacing w:before="0" w:after="0"/>
              <w:jc w:val="center"/>
              <w:rPr>
                <w:rFonts w:eastAsia="Times New Roman" w:cs="Arial"/>
                <w:szCs w:val="16"/>
              </w:rPr>
            </w:pPr>
            <w:r>
              <w:t>1.0000</w:t>
            </w:r>
          </w:p>
        </w:tc>
      </w:tr>
      <w:tr w:rsidR="004A2E39" w:rsidRPr="00210AC6" w14:paraId="30E510D4" w14:textId="77777777" w:rsidTr="005032AF">
        <w:trPr>
          <w:trHeight w:val="432"/>
        </w:trPr>
        <w:tc>
          <w:tcPr>
            <w:tcW w:w="5665" w:type="dxa"/>
            <w:vAlign w:val="center"/>
            <w:hideMark/>
          </w:tcPr>
          <w:p w14:paraId="131F4271"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3144A119" w14:textId="2E9A2561" w:rsidR="004A2E39" w:rsidRPr="00210AC6" w:rsidRDefault="004A2E39" w:rsidP="005032AF">
            <w:pPr>
              <w:spacing w:before="0" w:after="0"/>
              <w:jc w:val="center"/>
              <w:rPr>
                <w:rFonts w:eastAsia="Times New Roman" w:cs="Arial"/>
                <w:szCs w:val="16"/>
              </w:rPr>
            </w:pPr>
            <w:r>
              <w:t>100.00</w:t>
            </w:r>
          </w:p>
        </w:tc>
      </w:tr>
    </w:tbl>
    <w:p w14:paraId="4A88E261" w14:textId="77777777" w:rsidR="001A0793" w:rsidRDefault="001A0793" w:rsidP="000135C2">
      <w:pPr>
        <w:rPr>
          <w:rFonts w:eastAsia="Times New Roman" w:cs="Arial"/>
          <w:b/>
          <w:bCs/>
          <w:szCs w:val="16"/>
        </w:rPr>
      </w:pPr>
    </w:p>
    <w:p w14:paraId="45446BD1" w14:textId="77777777" w:rsidR="009D31F8" w:rsidRPr="00D731C8" w:rsidRDefault="009D31F8" w:rsidP="009D31F8">
      <w:pPr>
        <w:spacing w:after="120"/>
        <w:rPr>
          <w:b/>
          <w:bCs/>
        </w:rPr>
      </w:pPr>
      <w:r w:rsidRPr="00D731C8">
        <w:rPr>
          <w:b/>
          <w:bCs/>
        </w:rPr>
        <w:t xml:space="preserve">(2) In the 618 Data table, when calculating the value in the Total column, any N/As in the Timely, Complete Data, or Passed Edit Checks columns are treated as a ‘0’. An N/A does not negatively affect a </w:t>
      </w:r>
      <w:proofErr w:type="gramStart"/>
      <w:r w:rsidRPr="00D731C8">
        <w:rPr>
          <w:b/>
          <w:bCs/>
        </w:rPr>
        <w:t>State's</w:t>
      </w:r>
      <w:proofErr w:type="gramEnd"/>
      <w:r w:rsidRPr="00D731C8">
        <w:rPr>
          <w:b/>
          <w:bCs/>
        </w:rPr>
        <w:t xml:space="preserve"> score; this is because 2 points is subtracted from the Denominator in the Indicator Calculation table for each cell marked as N/A in the 618 Data table.</w:t>
      </w:r>
    </w:p>
    <w:p w14:paraId="4D089C92" w14:textId="3E9F4976"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w:t>
      </w:r>
    </w:p>
    <w:p w14:paraId="5992F4B1" w14:textId="77777777" w:rsidR="00FD2AA0" w:rsidRDefault="00FD2AA0" w:rsidP="00DC6D97">
      <w:pPr>
        <w:rPr>
          <w:b/>
          <w:bCs/>
        </w:rPr>
      </w:pPr>
    </w:p>
    <w:p w14:paraId="7483F12B" w14:textId="77777777" w:rsidR="00FD2AA0" w:rsidRDefault="00FD2AA0" w:rsidP="00DC6D97">
      <w:pPr>
        <w:rPr>
          <w:b/>
          <w:bCs/>
        </w:rPr>
      </w:pPr>
    </w:p>
    <w:p w14:paraId="038DFFCF" w14:textId="77777777" w:rsidR="00FD2AA0" w:rsidRPr="00DC6D97" w:rsidRDefault="00FD2AA0" w:rsidP="00DC6D97">
      <w:pPr>
        <w:rPr>
          <w:b/>
          <w:bCs/>
        </w:rPr>
      </w:pPr>
    </w:p>
    <w:p w14:paraId="64D1AEC4" w14:textId="5B2A7F86" w:rsidR="00DC6D97" w:rsidRDefault="00DC6D97" w:rsidP="00DC6D97"/>
    <w:p w14:paraId="086B2E38" w14:textId="12D8DB76" w:rsidR="00DC6D97" w:rsidRDefault="00DC6D97" w:rsidP="00DC6D97"/>
    <w:p w14:paraId="2467EB6D" w14:textId="77777777" w:rsidR="00DC6D97" w:rsidRPr="00DC6D97" w:rsidRDefault="00DC6D97" w:rsidP="00DC6D97"/>
    <w:p w14:paraId="6752827D" w14:textId="2B0103CA" w:rsidR="00A241E8" w:rsidRDefault="00A241E8">
      <w:pPr>
        <w:spacing w:before="0" w:after="200" w:line="276" w:lineRule="auto"/>
      </w:pPr>
      <w:r>
        <w:br w:type="page"/>
      </w:r>
    </w:p>
    <w:p w14:paraId="5959AD1D" w14:textId="3C0EB096" w:rsidR="008A41E6" w:rsidRPr="008A41E6" w:rsidRDefault="008A41E6" w:rsidP="008A41E6">
      <w:pPr>
        <w:rPr>
          <w:b/>
          <w:bCs/>
          <w:sz w:val="20"/>
          <w:szCs w:val="28"/>
        </w:rPr>
      </w:pPr>
      <w:r w:rsidRPr="008A41E6">
        <w:rPr>
          <w:b/>
          <w:bCs/>
          <w:sz w:val="20"/>
          <w:szCs w:val="28"/>
        </w:rPr>
        <w:lastRenderedPageBreak/>
        <w:t>APR and 618 -Timely and Accurate State Reported Data</w:t>
      </w:r>
    </w:p>
    <w:p w14:paraId="1A994B3A" w14:textId="05E7B6A8" w:rsidR="008A41E6" w:rsidRDefault="008A41E6" w:rsidP="008A41E6"/>
    <w:p w14:paraId="2557028E" w14:textId="14E6E442" w:rsidR="008A41E6" w:rsidRPr="008A41E6" w:rsidRDefault="008A41E6" w:rsidP="008A41E6">
      <w:pPr>
        <w:rPr>
          <w:b/>
          <w:bCs/>
        </w:rPr>
      </w:pPr>
      <w:r w:rsidRPr="008A41E6">
        <w:rPr>
          <w:b/>
          <w:bCs/>
        </w:rPr>
        <w:t>DATE: February 2024 Submission</w:t>
      </w:r>
    </w:p>
    <w:p w14:paraId="6428EBD3" w14:textId="10EBDA7E" w:rsidR="008A41E6" w:rsidRDefault="008A41E6" w:rsidP="008A41E6"/>
    <w:p w14:paraId="07678103" w14:textId="77777777" w:rsidR="004D63DC" w:rsidRDefault="004D63DC" w:rsidP="008A41E6">
      <w:pPr>
        <w:rPr>
          <w:b/>
          <w:bCs/>
        </w:rPr>
      </w:pPr>
      <w:r>
        <w:rPr>
          <w:b/>
          <w:bCs/>
        </w:rPr>
        <w:t>SPP/APR Data</w:t>
      </w:r>
    </w:p>
    <w:p w14:paraId="59D85CD3" w14:textId="77777777" w:rsidR="004D63DC" w:rsidRDefault="004D63DC" w:rsidP="008A41E6">
      <w:pPr>
        <w:rPr>
          <w:b/>
          <w:bCs/>
        </w:rPr>
      </w:pPr>
    </w:p>
    <w:p w14:paraId="4329C946" w14:textId="28CCF4CE" w:rsidR="008A41E6" w:rsidRDefault="008A41E6" w:rsidP="008A41E6">
      <w:r w:rsidRPr="008A41E6">
        <w:rPr>
          <w:b/>
          <w:bCs/>
        </w:rPr>
        <w:t>1) Valid and Reliable Data</w:t>
      </w:r>
      <w:r w:rsidRPr="008A41E6">
        <w:t xml:space="preserve"> - Data provided are from the correct time period, are consistent with 618 (when appropriate) and the </w:t>
      </w:r>
      <w:proofErr w:type="gramStart"/>
      <w:r w:rsidRPr="008A41E6">
        <w:t>measurement, and</w:t>
      </w:r>
      <w:proofErr w:type="gramEnd"/>
      <w:r w:rsidRPr="008A41E6">
        <w:t xml:space="preserve"> are consistent with previous indicator data (unless explained).</w:t>
      </w:r>
    </w:p>
    <w:p w14:paraId="09A8599A" w14:textId="1A822BB6" w:rsidR="008A41E6" w:rsidRDefault="008A41E6" w:rsidP="008A41E6"/>
    <w:p w14:paraId="0ED39287" w14:textId="4C5646EE" w:rsidR="008A41E6" w:rsidRDefault="008A41E6" w:rsidP="008A41E6">
      <w:r w:rsidRPr="008A41E6">
        <w:rPr>
          <w:b/>
          <w:bCs/>
        </w:rPr>
        <w:t>Part C 618 Data</w:t>
      </w:r>
    </w:p>
    <w:p w14:paraId="56DFAC4A" w14:textId="5DE17FC1" w:rsidR="008A41E6" w:rsidRDefault="008A41E6" w:rsidP="008A41E6"/>
    <w:p w14:paraId="2EEEE608" w14:textId="4E352E20" w:rsidR="008A41E6" w:rsidRDefault="008A41E6" w:rsidP="008A41E6">
      <w:r w:rsidRPr="008A41E6">
        <w:rPr>
          <w:b/>
          <w:bCs/>
        </w:rPr>
        <w:t>1) Timely</w:t>
      </w:r>
      <w:r w:rsidRPr="008A41E6">
        <w:t xml:space="preserve"> –   A State will receive one point if it submits counts/ responses for an entire E</w:t>
      </w:r>
      <w:r w:rsidRPr="00555AD9">
        <w:t>MAPS</w:t>
      </w:r>
      <w:r w:rsidRPr="008A41E6">
        <w:t xml:space="preserve"> survey associated with the IDEA Section 618 data collection to ED by the initial due date for that collection (as described the table below).    </w:t>
      </w:r>
    </w:p>
    <w:p w14:paraId="69375CF6" w14:textId="0BF63352"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5C446AB4" w14:textId="77777777" w:rsidTr="008A41E6">
        <w:trPr>
          <w:trHeight w:val="290"/>
        </w:trPr>
        <w:tc>
          <w:tcPr>
            <w:tcW w:w="2785" w:type="dxa"/>
            <w:hideMark/>
          </w:tcPr>
          <w:p w14:paraId="7E9517B5" w14:textId="77777777" w:rsidR="008A41E6" w:rsidRPr="008A41E6" w:rsidRDefault="008A41E6" w:rsidP="008A41E6">
            <w:pPr>
              <w:rPr>
                <w:b/>
                <w:bCs/>
              </w:rPr>
            </w:pPr>
            <w:r w:rsidRPr="008A41E6">
              <w:rPr>
                <w:b/>
                <w:bCs/>
              </w:rPr>
              <w:t>618 Data Collection</w:t>
            </w:r>
          </w:p>
        </w:tc>
        <w:tc>
          <w:tcPr>
            <w:tcW w:w="3615" w:type="dxa"/>
            <w:hideMark/>
          </w:tcPr>
          <w:p w14:paraId="38BB8167" w14:textId="77777777" w:rsidR="008A41E6" w:rsidRPr="008A41E6" w:rsidRDefault="008A41E6">
            <w:pPr>
              <w:rPr>
                <w:b/>
                <w:bCs/>
              </w:rPr>
            </w:pPr>
            <w:r w:rsidRPr="008A41E6">
              <w:rPr>
                <w:b/>
                <w:bCs/>
              </w:rPr>
              <w:t>EMAPS Survey</w:t>
            </w:r>
          </w:p>
        </w:tc>
        <w:tc>
          <w:tcPr>
            <w:tcW w:w="3230" w:type="dxa"/>
            <w:hideMark/>
          </w:tcPr>
          <w:p w14:paraId="0C600FA2" w14:textId="77777777" w:rsidR="008A41E6" w:rsidRPr="008A41E6" w:rsidRDefault="008A41E6">
            <w:pPr>
              <w:rPr>
                <w:b/>
                <w:bCs/>
              </w:rPr>
            </w:pPr>
            <w:r w:rsidRPr="008A41E6">
              <w:rPr>
                <w:b/>
                <w:bCs/>
              </w:rPr>
              <w:t>Due Date</w:t>
            </w:r>
          </w:p>
        </w:tc>
      </w:tr>
      <w:tr w:rsidR="00D34E49" w:rsidRPr="008A41E6" w14:paraId="48B0EA70" w14:textId="77777777" w:rsidTr="008A41E6">
        <w:trPr>
          <w:trHeight w:val="340"/>
        </w:trPr>
        <w:tc>
          <w:tcPr>
            <w:tcW w:w="2785" w:type="dxa"/>
            <w:hideMark/>
          </w:tcPr>
          <w:p w14:paraId="47BE65B7" w14:textId="77777777" w:rsidR="00D34E49" w:rsidRPr="008A41E6" w:rsidRDefault="00D34E49" w:rsidP="00D34E49">
            <w:r w:rsidRPr="008A41E6">
              <w:t>Part C Child Count and Setting</w:t>
            </w:r>
          </w:p>
        </w:tc>
        <w:tc>
          <w:tcPr>
            <w:tcW w:w="3615" w:type="dxa"/>
            <w:hideMark/>
          </w:tcPr>
          <w:p w14:paraId="6E50EDA7" w14:textId="77777777" w:rsidR="00D34E49" w:rsidRPr="008A41E6" w:rsidRDefault="00D34E49" w:rsidP="00D34E49">
            <w:r w:rsidRPr="008A41E6">
              <w:t>Part C Child Count and Settings in E</w:t>
            </w:r>
            <w:r w:rsidRPr="00555AD9">
              <w:t>MAPS</w:t>
            </w:r>
          </w:p>
        </w:tc>
        <w:tc>
          <w:tcPr>
            <w:tcW w:w="3230" w:type="dxa"/>
            <w:hideMark/>
          </w:tcPr>
          <w:p w14:paraId="31BA0725" w14:textId="3A690872" w:rsidR="00D34E49" w:rsidRPr="008A41E6" w:rsidRDefault="00D34E49" w:rsidP="00D34E49">
            <w:r>
              <w:t>8/30/2023</w:t>
            </w:r>
          </w:p>
        </w:tc>
      </w:tr>
      <w:tr w:rsidR="00D34E49" w:rsidRPr="008A41E6" w14:paraId="1173D2B3" w14:textId="77777777" w:rsidTr="008A41E6">
        <w:trPr>
          <w:trHeight w:val="340"/>
        </w:trPr>
        <w:tc>
          <w:tcPr>
            <w:tcW w:w="2785" w:type="dxa"/>
            <w:hideMark/>
          </w:tcPr>
          <w:p w14:paraId="461E95EA" w14:textId="77777777" w:rsidR="00D34E49" w:rsidRPr="008A41E6" w:rsidRDefault="00D34E49" w:rsidP="00D34E49">
            <w:r w:rsidRPr="008A41E6">
              <w:t>Part C Exiting</w:t>
            </w:r>
          </w:p>
        </w:tc>
        <w:tc>
          <w:tcPr>
            <w:tcW w:w="3615" w:type="dxa"/>
            <w:hideMark/>
          </w:tcPr>
          <w:p w14:paraId="1E6A19F0" w14:textId="77777777" w:rsidR="00D34E49" w:rsidRPr="008A41E6" w:rsidRDefault="00D34E49" w:rsidP="00D34E49">
            <w:r w:rsidRPr="008A41E6">
              <w:t>Part C Exiting Collection in E</w:t>
            </w:r>
            <w:r w:rsidRPr="00555AD9">
              <w:t>MAPS</w:t>
            </w:r>
          </w:p>
        </w:tc>
        <w:tc>
          <w:tcPr>
            <w:tcW w:w="3230" w:type="dxa"/>
            <w:hideMark/>
          </w:tcPr>
          <w:p w14:paraId="6771BD30" w14:textId="29959B14" w:rsidR="00D34E49" w:rsidRPr="008A41E6" w:rsidRDefault="00D34E49" w:rsidP="00D34E49">
            <w:r>
              <w:t>2/21/2024</w:t>
            </w:r>
          </w:p>
        </w:tc>
      </w:tr>
      <w:tr w:rsidR="00D34E49" w:rsidRPr="008A41E6" w14:paraId="44C89D7A" w14:textId="77777777" w:rsidTr="008A41E6">
        <w:trPr>
          <w:trHeight w:val="340"/>
        </w:trPr>
        <w:tc>
          <w:tcPr>
            <w:tcW w:w="2785" w:type="dxa"/>
            <w:hideMark/>
          </w:tcPr>
          <w:p w14:paraId="2366E4F6" w14:textId="77777777" w:rsidR="00D34E49" w:rsidRPr="008A41E6" w:rsidRDefault="00D34E49" w:rsidP="00D34E49">
            <w:r w:rsidRPr="008A41E6">
              <w:t xml:space="preserve">Part C Dispute Resolution </w:t>
            </w:r>
          </w:p>
        </w:tc>
        <w:tc>
          <w:tcPr>
            <w:tcW w:w="3615" w:type="dxa"/>
            <w:hideMark/>
          </w:tcPr>
          <w:p w14:paraId="3D6A733B" w14:textId="77777777" w:rsidR="00D34E49" w:rsidRPr="008A41E6" w:rsidRDefault="00D34E49" w:rsidP="00D34E49">
            <w:r w:rsidRPr="008A41E6">
              <w:t>Part C Dispute Resolution Survey in E</w:t>
            </w:r>
            <w:r w:rsidRPr="00555AD9">
              <w:t>MAPS</w:t>
            </w:r>
          </w:p>
        </w:tc>
        <w:tc>
          <w:tcPr>
            <w:tcW w:w="3230" w:type="dxa"/>
            <w:hideMark/>
          </w:tcPr>
          <w:p w14:paraId="37D36B50" w14:textId="5EFEF004" w:rsidR="00D34E49" w:rsidRPr="008A41E6" w:rsidRDefault="00D34E49" w:rsidP="00D34E49">
            <w:r>
              <w:t>11/15/2023</w:t>
            </w:r>
          </w:p>
        </w:tc>
      </w:tr>
    </w:tbl>
    <w:p w14:paraId="7F1B7E1E" w14:textId="08E3DD99" w:rsidR="008A41E6" w:rsidRDefault="008A41E6" w:rsidP="008A41E6"/>
    <w:p w14:paraId="5A249D59"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14:paraId="28B8ED82" w14:textId="74CFF7DA" w:rsidR="008A41E6" w:rsidRDefault="008A41E6" w:rsidP="008A41E6"/>
    <w:p w14:paraId="2EA74A56" w14:textId="1FA06DB5"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 See the E</w:t>
      </w:r>
      <w:r w:rsidRPr="00555AD9">
        <w:t>MAPS</w:t>
      </w:r>
      <w:r w:rsidRPr="008A41E6">
        <w:t xml:space="preserve"> User Guide for each of the Part C 618 Data Collections for a list of edit checks (available at: </w:t>
      </w:r>
      <w:hyperlink r:id="rId14" w:history="1">
        <w:r w:rsidRPr="008A41E6">
          <w:rPr>
            <w:rStyle w:val="Hyperlink"/>
          </w:rPr>
          <w:t>https://www2.ed.gov/about/inits/ed/edfacts/index.html</w:t>
        </w:r>
      </w:hyperlink>
      <w:r w:rsidRPr="008A41E6">
        <w:t xml:space="preserve">). </w:t>
      </w:r>
    </w:p>
    <w:p w14:paraId="69646AD1" w14:textId="77777777" w:rsidR="008A41E6" w:rsidRDefault="008A41E6" w:rsidP="008A41E6"/>
    <w:p w14:paraId="0A8D754F" w14:textId="6FDA0BB2" w:rsidR="008A41E6" w:rsidRPr="008A41E6" w:rsidRDefault="008A41E6" w:rsidP="008A41E6">
      <w:pPr>
        <w:spacing w:before="0" w:after="200" w:line="276" w:lineRule="auto"/>
      </w:pPr>
      <w:r>
        <w:br w:type="page"/>
      </w:r>
    </w:p>
    <w:p w14:paraId="6054DF11" w14:textId="77777777" w:rsidR="00D21F29" w:rsidRPr="00CE7212" w:rsidRDefault="00D21F29" w:rsidP="00D21F29">
      <w:pPr>
        <w:pStyle w:val="Heading2"/>
        <w:rPr>
          <w:b w:val="0"/>
          <w:bCs w:val="0"/>
        </w:rPr>
      </w:pPr>
      <w:bookmarkStart w:id="89" w:name="_Hlk158188058"/>
      <w:r w:rsidRPr="00CE7212">
        <w:lastRenderedPageBreak/>
        <w:t>Dispute Resolution</w:t>
      </w:r>
    </w:p>
    <w:p w14:paraId="023C5A41" w14:textId="77777777" w:rsidR="00D21F29" w:rsidRPr="00CE7212" w:rsidRDefault="00D21F29" w:rsidP="00D21F29">
      <w:pPr>
        <w:rPr>
          <w:b/>
          <w:bCs/>
          <w:sz w:val="18"/>
          <w:szCs w:val="24"/>
        </w:rPr>
      </w:pPr>
      <w:r w:rsidRPr="00CE7212">
        <w:rPr>
          <w:b/>
          <w:bCs/>
          <w:sz w:val="18"/>
          <w:szCs w:val="24"/>
        </w:rPr>
        <w:t>IDEA Part C</w:t>
      </w:r>
    </w:p>
    <w:p w14:paraId="605F3046" w14:textId="77777777" w:rsidR="00D21F29" w:rsidRPr="00CE7212" w:rsidRDefault="00D21F29" w:rsidP="00D21F29">
      <w:pPr>
        <w:rPr>
          <w:b/>
          <w:bCs/>
          <w:sz w:val="18"/>
          <w:szCs w:val="24"/>
        </w:rPr>
      </w:pPr>
      <w:r w:rsidRPr="00CE7212">
        <w:rPr>
          <w:b/>
          <w:bCs/>
          <w:sz w:val="18"/>
          <w:szCs w:val="24"/>
        </w:rPr>
        <w:t>Nevada</w:t>
      </w:r>
    </w:p>
    <w:p w14:paraId="3ECBE445" w14:textId="77777777" w:rsidR="00D21F29" w:rsidRPr="00CE7212" w:rsidRDefault="00D21F29" w:rsidP="00D21F29">
      <w:pPr>
        <w:rPr>
          <w:b/>
          <w:bCs/>
          <w:sz w:val="18"/>
          <w:szCs w:val="24"/>
        </w:rPr>
      </w:pPr>
      <w:r w:rsidRPr="00CE7212">
        <w:rPr>
          <w:b/>
          <w:bCs/>
          <w:sz w:val="18"/>
          <w:szCs w:val="24"/>
        </w:rPr>
        <w:t>Year 2022-23</w:t>
      </w:r>
    </w:p>
    <w:p w14:paraId="2F00F8B2" w14:textId="77777777" w:rsidR="00D21F29" w:rsidRPr="00597743" w:rsidRDefault="00D21F29" w:rsidP="00D21F29"/>
    <w:p w14:paraId="53517F08" w14:textId="77777777" w:rsidR="00D21F29" w:rsidRPr="00597743" w:rsidRDefault="00D21F29" w:rsidP="00D21F29">
      <w:pPr>
        <w:spacing w:before="0" w:after="0"/>
        <w:rPr>
          <w:szCs w:val="16"/>
        </w:rPr>
      </w:pPr>
      <w:r w:rsidRPr="00597743">
        <w:rPr>
          <w:szCs w:val="16"/>
        </w:rPr>
        <w:t xml:space="preserve">A zero count should be used when there were no events or occurrences to report in the specific category for the given reporting period. Check “Missing’ if the state did not collect or could not report a count for the specific category. Please provide an explanation for the missing data in the comment box at the top of the page. </w:t>
      </w:r>
    </w:p>
    <w:p w14:paraId="788342D9" w14:textId="77777777" w:rsidR="00D21F29" w:rsidRPr="00597743" w:rsidRDefault="00D21F29" w:rsidP="00D21F29">
      <w:pPr>
        <w:spacing w:before="0" w:after="0"/>
        <w:rPr>
          <w:szCs w:val="16"/>
        </w:rPr>
      </w:pPr>
    </w:p>
    <w:p w14:paraId="5EA88314"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8004"/>
        <w:gridCol w:w="2786"/>
      </w:tblGrid>
      <w:tr w:rsidR="00D21F29" w:rsidRPr="00597743" w14:paraId="1381139F" w14:textId="77777777" w:rsidTr="0023758D">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1B98709" w14:textId="77777777" w:rsidR="00D21F29" w:rsidRPr="00597743" w:rsidRDefault="00D21F29" w:rsidP="0023758D">
            <w:pPr>
              <w:rPr>
                <w:rFonts w:cs="Arial"/>
                <w:b/>
                <w:bCs/>
                <w:szCs w:val="16"/>
              </w:rPr>
            </w:pPr>
            <w:r w:rsidRPr="00597743">
              <w:rPr>
                <w:rFonts w:cs="Arial"/>
                <w:b/>
                <w:bCs/>
                <w:szCs w:val="16"/>
              </w:rPr>
              <w:t>(1) Total number of written signed complaints filed.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57E25E8" w14:textId="77777777" w:rsidR="00D21F29" w:rsidRPr="00597743" w:rsidRDefault="00D21F29" w:rsidP="0023758D">
            <w:pPr>
              <w:rPr>
                <w:rFonts w:cs="Arial"/>
                <w:szCs w:val="16"/>
              </w:rPr>
            </w:pPr>
            <w:r w:rsidRPr="00597743">
              <w:rPr>
                <w:rFonts w:cs="Arial"/>
                <w:szCs w:val="16"/>
              </w:rPr>
              <w:t>2</w:t>
            </w:r>
          </w:p>
        </w:tc>
      </w:tr>
      <w:tr w:rsidR="00D21F29" w:rsidRPr="00597743" w14:paraId="7A6387CD" w14:textId="77777777" w:rsidTr="0023758D">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9DA792D" w14:textId="77777777" w:rsidR="00D21F29" w:rsidRPr="00597743" w:rsidRDefault="00D21F29" w:rsidP="0023758D">
            <w:pPr>
              <w:rPr>
                <w:rFonts w:cs="Arial"/>
                <w:szCs w:val="16"/>
              </w:rPr>
            </w:pPr>
            <w:r w:rsidRPr="00597743">
              <w:rPr>
                <w:rFonts w:cs="Arial"/>
                <w:szCs w:val="16"/>
              </w:rPr>
              <w:t>(1.1) Complaints with reports issued.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D6798F4" w14:textId="77777777" w:rsidR="00D21F29" w:rsidRPr="00597743" w:rsidRDefault="00D21F29" w:rsidP="0023758D">
            <w:pPr>
              <w:rPr>
                <w:rFonts w:cs="Arial"/>
                <w:szCs w:val="16"/>
              </w:rPr>
            </w:pPr>
            <w:r w:rsidRPr="00597743">
              <w:rPr>
                <w:rFonts w:cs="Arial"/>
                <w:szCs w:val="16"/>
              </w:rPr>
              <w:t>2</w:t>
            </w:r>
          </w:p>
        </w:tc>
      </w:tr>
      <w:tr w:rsidR="00D21F29" w:rsidRPr="00597743" w14:paraId="2A56B790" w14:textId="77777777" w:rsidTr="0023758D">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75DC865" w14:textId="77777777" w:rsidR="00D21F29" w:rsidRPr="00597743" w:rsidRDefault="00D21F29" w:rsidP="0023758D">
            <w:pPr>
              <w:rPr>
                <w:rFonts w:cs="Arial"/>
                <w:szCs w:val="16"/>
              </w:rPr>
            </w:pPr>
            <w:r w:rsidRPr="00597743">
              <w:rPr>
                <w:rFonts w:cs="Arial"/>
                <w:szCs w:val="16"/>
              </w:rPr>
              <w:t>(1.1) (a) Reports with findings of noncompliance.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3DDAD86" w14:textId="77777777" w:rsidR="00D21F29" w:rsidRPr="00597743" w:rsidRDefault="00D21F29" w:rsidP="0023758D">
            <w:pPr>
              <w:rPr>
                <w:rFonts w:cs="Arial"/>
                <w:szCs w:val="16"/>
              </w:rPr>
            </w:pPr>
            <w:r w:rsidRPr="00597743">
              <w:rPr>
                <w:rFonts w:cs="Arial"/>
                <w:szCs w:val="16"/>
              </w:rPr>
              <w:t>2</w:t>
            </w:r>
          </w:p>
        </w:tc>
      </w:tr>
      <w:tr w:rsidR="00D21F29" w:rsidRPr="00597743" w14:paraId="65DF4E02"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BCCC689" w14:textId="77777777" w:rsidR="00D21F29" w:rsidRPr="00597743" w:rsidRDefault="00D21F29" w:rsidP="0023758D">
            <w:pPr>
              <w:rPr>
                <w:rFonts w:cs="Arial"/>
                <w:szCs w:val="16"/>
              </w:rPr>
            </w:pPr>
            <w:r w:rsidRPr="00597743">
              <w:rPr>
                <w:rFonts w:cs="Arial"/>
                <w:szCs w:val="16"/>
              </w:rPr>
              <w:t>(1.1) (b) Reports within timelines.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59E94A96" w14:textId="77777777" w:rsidR="00D21F29" w:rsidRPr="00597743" w:rsidRDefault="00D21F29" w:rsidP="0023758D">
            <w:pPr>
              <w:rPr>
                <w:rFonts w:cs="Arial"/>
                <w:szCs w:val="16"/>
              </w:rPr>
            </w:pPr>
            <w:r w:rsidRPr="00597743">
              <w:rPr>
                <w:rFonts w:cs="Arial"/>
                <w:szCs w:val="16"/>
              </w:rPr>
              <w:t>0</w:t>
            </w:r>
          </w:p>
        </w:tc>
      </w:tr>
      <w:tr w:rsidR="00D21F29" w:rsidRPr="00597743" w14:paraId="0C3DB357"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2C083AF" w14:textId="77777777" w:rsidR="00D21F29" w:rsidRPr="00597743" w:rsidRDefault="00D21F29" w:rsidP="0023758D">
            <w:pPr>
              <w:rPr>
                <w:rFonts w:cs="Arial"/>
                <w:szCs w:val="16"/>
              </w:rPr>
            </w:pPr>
            <w:r w:rsidRPr="00597743">
              <w:rPr>
                <w:rFonts w:cs="Arial"/>
                <w:szCs w:val="16"/>
              </w:rPr>
              <w:t>(1.1) (c) Reports within extended timelines.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E88AC0F" w14:textId="77777777" w:rsidR="00D21F29" w:rsidRPr="00597743" w:rsidRDefault="00D21F29" w:rsidP="0023758D">
            <w:pPr>
              <w:rPr>
                <w:rFonts w:cs="Arial"/>
                <w:szCs w:val="16"/>
              </w:rPr>
            </w:pPr>
            <w:r w:rsidRPr="00597743">
              <w:rPr>
                <w:rFonts w:cs="Arial"/>
                <w:szCs w:val="16"/>
              </w:rPr>
              <w:t>2</w:t>
            </w:r>
          </w:p>
        </w:tc>
      </w:tr>
      <w:tr w:rsidR="00D21F29" w:rsidRPr="00597743" w14:paraId="5E8A975A"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615B5B2" w14:textId="77777777" w:rsidR="00D21F29" w:rsidRPr="00597743" w:rsidRDefault="00D21F29" w:rsidP="0023758D">
            <w:pPr>
              <w:rPr>
                <w:rFonts w:cs="Arial"/>
                <w:szCs w:val="16"/>
              </w:rPr>
            </w:pPr>
            <w:r w:rsidRPr="00597743">
              <w:rPr>
                <w:rFonts w:cs="Arial"/>
                <w:szCs w:val="16"/>
              </w:rPr>
              <w:t xml:space="preserve">(1.2)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9E84421" w14:textId="77777777" w:rsidR="00D21F29" w:rsidRPr="00597743" w:rsidRDefault="00D21F29" w:rsidP="0023758D">
            <w:pPr>
              <w:rPr>
                <w:rFonts w:cs="Arial"/>
                <w:szCs w:val="16"/>
              </w:rPr>
            </w:pPr>
            <w:r w:rsidRPr="00597743">
              <w:rPr>
                <w:rFonts w:cs="Arial"/>
                <w:szCs w:val="16"/>
              </w:rPr>
              <w:t>0</w:t>
            </w:r>
          </w:p>
        </w:tc>
      </w:tr>
      <w:tr w:rsidR="00D21F29" w:rsidRPr="00597743" w14:paraId="285C244D"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5DD5128" w14:textId="77777777" w:rsidR="00D21F29" w:rsidRPr="00597743" w:rsidRDefault="00D21F29" w:rsidP="0023758D">
            <w:pPr>
              <w:rPr>
                <w:rFonts w:cs="Arial"/>
                <w:szCs w:val="16"/>
              </w:rPr>
            </w:pPr>
            <w:r w:rsidRPr="00597743">
              <w:rPr>
                <w:rFonts w:cs="Arial"/>
                <w:szCs w:val="16"/>
              </w:rPr>
              <w:t xml:space="preserve">(1.2) (a) Complaints pending a due process hearing.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67F2FDE" w14:textId="77777777" w:rsidR="00D21F29" w:rsidRPr="00597743" w:rsidRDefault="00D21F29" w:rsidP="0023758D">
            <w:pPr>
              <w:rPr>
                <w:rFonts w:cs="Arial"/>
                <w:szCs w:val="16"/>
              </w:rPr>
            </w:pPr>
            <w:r w:rsidRPr="00597743">
              <w:rPr>
                <w:rFonts w:cs="Arial"/>
                <w:szCs w:val="16"/>
              </w:rPr>
              <w:t>0</w:t>
            </w:r>
          </w:p>
        </w:tc>
      </w:tr>
      <w:tr w:rsidR="00D21F29" w:rsidRPr="00597743" w14:paraId="0833B76F"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71E970D7" w14:textId="77777777" w:rsidR="00D21F29" w:rsidRPr="00597743" w:rsidRDefault="00D21F29" w:rsidP="0023758D">
            <w:pPr>
              <w:rPr>
                <w:rFonts w:cs="Arial"/>
                <w:szCs w:val="16"/>
              </w:rPr>
            </w:pPr>
            <w:r w:rsidRPr="00597743">
              <w:rPr>
                <w:rFonts w:cs="Arial"/>
                <w:szCs w:val="16"/>
              </w:rPr>
              <w:t xml:space="preserve">(1.3)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39AE444" w14:textId="77777777" w:rsidR="00D21F29" w:rsidRPr="00597743" w:rsidRDefault="00D21F29" w:rsidP="0023758D">
            <w:pPr>
              <w:rPr>
                <w:rFonts w:cs="Arial"/>
                <w:szCs w:val="16"/>
              </w:rPr>
            </w:pPr>
            <w:r w:rsidRPr="00597743">
              <w:rPr>
                <w:rFonts w:cs="Arial"/>
                <w:szCs w:val="16"/>
              </w:rPr>
              <w:t>0</w:t>
            </w:r>
          </w:p>
        </w:tc>
      </w:tr>
    </w:tbl>
    <w:p w14:paraId="4310CFAD" w14:textId="77777777" w:rsidR="00D21F29" w:rsidRPr="00597743" w:rsidRDefault="00D21F29" w:rsidP="00D21F29">
      <w:pPr>
        <w:rPr>
          <w:rFonts w:cs="Arial"/>
          <w:b/>
          <w:bCs/>
          <w:szCs w:val="16"/>
        </w:rPr>
      </w:pPr>
    </w:p>
    <w:p w14:paraId="76FBFC15"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8004"/>
        <w:gridCol w:w="2786"/>
      </w:tblGrid>
      <w:tr w:rsidR="00D21F29" w:rsidRPr="00597743" w14:paraId="79CA6244" w14:textId="77777777" w:rsidTr="0023758D">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C02A279" w14:textId="77777777" w:rsidR="00D21F29" w:rsidRPr="00597743" w:rsidRDefault="00D21F29" w:rsidP="0023758D">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C1FC4B6" w14:textId="77777777" w:rsidR="00D21F29" w:rsidRPr="00597743" w:rsidRDefault="00D21F29" w:rsidP="0023758D">
            <w:pPr>
              <w:rPr>
                <w:rFonts w:cs="Arial"/>
                <w:szCs w:val="16"/>
              </w:rPr>
            </w:pPr>
            <w:r w:rsidRPr="00597743">
              <w:rPr>
                <w:rFonts w:cs="Arial"/>
                <w:szCs w:val="16"/>
              </w:rPr>
              <w:t>0</w:t>
            </w:r>
          </w:p>
        </w:tc>
      </w:tr>
      <w:tr w:rsidR="00D21F29" w:rsidRPr="00597743" w14:paraId="6D99FDFB" w14:textId="77777777" w:rsidTr="0023758D">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6428B6F9" w14:textId="77777777" w:rsidR="00D21F29" w:rsidRPr="00597743" w:rsidRDefault="00D21F29" w:rsidP="0023758D">
            <w:pPr>
              <w:rPr>
                <w:rFonts w:cs="Arial"/>
                <w:szCs w:val="16"/>
              </w:rPr>
            </w:pPr>
            <w:r w:rsidRPr="00597743">
              <w:rPr>
                <w:rFonts w:cs="Arial"/>
                <w:szCs w:val="16"/>
              </w:rPr>
              <w:t xml:space="preserve">(2.1) Mediations held.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9005A6F" w14:textId="77777777" w:rsidR="00D21F29" w:rsidRPr="00597743" w:rsidRDefault="00D21F29" w:rsidP="0023758D">
            <w:pPr>
              <w:rPr>
                <w:rFonts w:cs="Arial"/>
                <w:szCs w:val="16"/>
              </w:rPr>
            </w:pPr>
            <w:r w:rsidRPr="00597743">
              <w:rPr>
                <w:rFonts w:cs="Arial"/>
                <w:szCs w:val="16"/>
              </w:rPr>
              <w:t>0</w:t>
            </w:r>
          </w:p>
        </w:tc>
      </w:tr>
      <w:tr w:rsidR="00D21F29" w:rsidRPr="00597743" w14:paraId="2A345FEA" w14:textId="77777777" w:rsidTr="0023758D">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7B18616" w14:textId="77777777" w:rsidR="00D21F29" w:rsidRPr="00597743" w:rsidRDefault="00D21F29" w:rsidP="0023758D">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071D63C" w14:textId="77777777" w:rsidR="00D21F29" w:rsidRPr="00597743" w:rsidRDefault="00D21F29" w:rsidP="0023758D">
            <w:pPr>
              <w:rPr>
                <w:rFonts w:cs="Arial"/>
                <w:szCs w:val="16"/>
              </w:rPr>
            </w:pPr>
            <w:r w:rsidRPr="00597743">
              <w:rPr>
                <w:rFonts w:cs="Arial"/>
                <w:szCs w:val="16"/>
              </w:rPr>
              <w:t>0</w:t>
            </w:r>
          </w:p>
        </w:tc>
      </w:tr>
      <w:tr w:rsidR="00D21F29" w:rsidRPr="00597743" w14:paraId="7C711A82"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36505C9E" w14:textId="77777777" w:rsidR="00D21F29" w:rsidRPr="00597743" w:rsidRDefault="00D21F29" w:rsidP="0023758D">
            <w:pPr>
              <w:rPr>
                <w:rFonts w:cs="Arial"/>
                <w:szCs w:val="16"/>
              </w:rPr>
            </w:pPr>
            <w:r w:rsidRPr="00597743">
              <w:rPr>
                <w:rFonts w:cs="Arial"/>
                <w:szCs w:val="16"/>
              </w:rPr>
              <w:t xml:space="preserve">(2.1) (a) (i)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3FDD8C0" w14:textId="77777777" w:rsidR="00D21F29" w:rsidRPr="00597743" w:rsidRDefault="00D21F29" w:rsidP="0023758D">
            <w:pPr>
              <w:rPr>
                <w:rFonts w:cs="Arial"/>
                <w:szCs w:val="16"/>
              </w:rPr>
            </w:pPr>
            <w:r w:rsidRPr="00597743">
              <w:rPr>
                <w:rFonts w:cs="Arial"/>
                <w:szCs w:val="16"/>
              </w:rPr>
              <w:t>0</w:t>
            </w:r>
          </w:p>
        </w:tc>
      </w:tr>
      <w:tr w:rsidR="00D21F29" w:rsidRPr="00597743" w14:paraId="24E8C154"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A12E87C" w14:textId="77777777" w:rsidR="00D21F29" w:rsidRPr="00597743" w:rsidRDefault="00D21F29" w:rsidP="0023758D">
            <w:pPr>
              <w:rPr>
                <w:rFonts w:cs="Arial"/>
                <w:szCs w:val="16"/>
              </w:rPr>
            </w:pPr>
            <w:r w:rsidRPr="00597743">
              <w:rPr>
                <w:rFonts w:cs="Arial"/>
                <w:szCs w:val="16"/>
              </w:rPr>
              <w:t xml:space="preserve">(2.1) (b) Mediations held no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26DAF3E" w14:textId="77777777" w:rsidR="00D21F29" w:rsidRPr="00597743" w:rsidRDefault="00D21F29" w:rsidP="0023758D">
            <w:pPr>
              <w:rPr>
                <w:rFonts w:cs="Arial"/>
                <w:szCs w:val="16"/>
              </w:rPr>
            </w:pPr>
            <w:r w:rsidRPr="00597743">
              <w:rPr>
                <w:rFonts w:cs="Arial"/>
                <w:szCs w:val="16"/>
              </w:rPr>
              <w:t>0</w:t>
            </w:r>
          </w:p>
        </w:tc>
      </w:tr>
      <w:tr w:rsidR="00D21F29" w:rsidRPr="00597743" w14:paraId="12462363"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04D8B43" w14:textId="77777777" w:rsidR="00D21F29" w:rsidRPr="00597743" w:rsidRDefault="00D21F29" w:rsidP="0023758D">
            <w:pPr>
              <w:rPr>
                <w:rFonts w:cs="Arial"/>
                <w:szCs w:val="16"/>
              </w:rPr>
            </w:pPr>
            <w:r w:rsidRPr="00597743">
              <w:rPr>
                <w:rFonts w:cs="Arial"/>
                <w:szCs w:val="16"/>
              </w:rPr>
              <w:t xml:space="preserve">(2.1) (b) (i)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9E4315B" w14:textId="77777777" w:rsidR="00D21F29" w:rsidRPr="00597743" w:rsidRDefault="00D21F29" w:rsidP="0023758D">
            <w:pPr>
              <w:rPr>
                <w:rFonts w:cs="Arial"/>
                <w:szCs w:val="16"/>
              </w:rPr>
            </w:pPr>
            <w:r w:rsidRPr="00597743">
              <w:rPr>
                <w:rFonts w:cs="Arial"/>
                <w:szCs w:val="16"/>
              </w:rPr>
              <w:t>0</w:t>
            </w:r>
          </w:p>
        </w:tc>
      </w:tr>
      <w:tr w:rsidR="00D21F29" w:rsidRPr="00597743" w14:paraId="2CA154DF"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7C850B4" w14:textId="77777777" w:rsidR="00D21F29" w:rsidRPr="00597743" w:rsidRDefault="00D21F29" w:rsidP="0023758D">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ACCC4A9" w14:textId="77777777" w:rsidR="00D21F29" w:rsidRPr="00597743" w:rsidRDefault="00D21F29" w:rsidP="0023758D">
            <w:pPr>
              <w:rPr>
                <w:rFonts w:cs="Arial"/>
                <w:szCs w:val="16"/>
              </w:rPr>
            </w:pPr>
            <w:r w:rsidRPr="00597743">
              <w:rPr>
                <w:rFonts w:cs="Arial"/>
                <w:szCs w:val="16"/>
              </w:rPr>
              <w:t>0</w:t>
            </w:r>
          </w:p>
        </w:tc>
      </w:tr>
      <w:tr w:rsidR="00D21F29" w:rsidRPr="00597743" w14:paraId="1D8F5051"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4441C1CF" w14:textId="77777777" w:rsidR="00D21F29" w:rsidRPr="00597743" w:rsidRDefault="00D21F29" w:rsidP="0023758D">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9B4F107" w14:textId="77777777" w:rsidR="00D21F29" w:rsidRPr="00597743" w:rsidRDefault="00D21F29" w:rsidP="0023758D">
            <w:pPr>
              <w:rPr>
                <w:rFonts w:cs="Arial"/>
                <w:szCs w:val="16"/>
              </w:rPr>
            </w:pPr>
            <w:r w:rsidRPr="00597743">
              <w:rPr>
                <w:rFonts w:cs="Arial"/>
                <w:szCs w:val="16"/>
              </w:rPr>
              <w:t>0</w:t>
            </w:r>
          </w:p>
        </w:tc>
      </w:tr>
    </w:tbl>
    <w:p w14:paraId="1E0904CD" w14:textId="77777777" w:rsidR="00D21F29" w:rsidRPr="00597743" w:rsidRDefault="00D21F29" w:rsidP="00D21F29">
      <w:pPr>
        <w:rPr>
          <w:rFonts w:cs="Arial"/>
          <w:b/>
          <w:bCs/>
          <w:szCs w:val="16"/>
        </w:rPr>
      </w:pPr>
    </w:p>
    <w:p w14:paraId="5B09E9FD"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8004"/>
        <w:gridCol w:w="2786"/>
      </w:tblGrid>
      <w:tr w:rsidR="00D21F29" w:rsidRPr="00597743" w14:paraId="078F6E85" w14:textId="77777777" w:rsidTr="0023758D">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6626D9F" w14:textId="77777777" w:rsidR="00D21F29" w:rsidRPr="00597743" w:rsidRDefault="00D21F29" w:rsidP="0023758D">
            <w:pPr>
              <w:rPr>
                <w:rFonts w:cs="Arial"/>
                <w:b/>
                <w:bCs/>
                <w:szCs w:val="16"/>
              </w:rPr>
            </w:pPr>
            <w:r w:rsidRPr="00597743">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9143704" w14:textId="77777777" w:rsidR="00D21F29" w:rsidRPr="00597743" w:rsidRDefault="00D21F29" w:rsidP="0023758D">
            <w:pPr>
              <w:rPr>
                <w:rFonts w:cs="Arial"/>
                <w:szCs w:val="16"/>
              </w:rPr>
            </w:pPr>
            <w:r w:rsidRPr="00597743">
              <w:rPr>
                <w:rFonts w:cs="Arial"/>
                <w:szCs w:val="16"/>
              </w:rPr>
              <w:t>0</w:t>
            </w:r>
          </w:p>
        </w:tc>
      </w:tr>
      <w:tr w:rsidR="00D21F29" w:rsidRPr="00597743" w14:paraId="7FDAEBAB" w14:textId="77777777" w:rsidTr="0023758D">
        <w:trPr>
          <w:trHeight w:val="33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48FA488" w14:textId="77777777" w:rsidR="00D21F29" w:rsidRPr="00597743" w:rsidRDefault="00D21F29" w:rsidP="0023758D">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5A7C26F" w14:textId="77777777" w:rsidR="00D21F29" w:rsidRPr="00597743" w:rsidRDefault="00D21F29" w:rsidP="0023758D">
            <w:pPr>
              <w:rPr>
                <w:rFonts w:cs="Arial"/>
                <w:szCs w:val="16"/>
              </w:rPr>
            </w:pPr>
            <w:r w:rsidRPr="00597743">
              <w:rPr>
                <w:rFonts w:cs="Arial"/>
                <w:szCs w:val="16"/>
              </w:rPr>
              <w:t>PARTB</w:t>
            </w:r>
          </w:p>
        </w:tc>
      </w:tr>
      <w:tr w:rsidR="00D21F29" w:rsidRPr="00597743" w14:paraId="74ACBDC6" w14:textId="77777777" w:rsidTr="0023758D">
        <w:trPr>
          <w:trHeight w:val="278"/>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0C900D0A" w14:textId="77777777" w:rsidR="00D21F29" w:rsidRPr="00597743" w:rsidRDefault="00D21F29" w:rsidP="0023758D">
            <w:pPr>
              <w:rPr>
                <w:rFonts w:cs="Arial"/>
                <w:szCs w:val="16"/>
              </w:rPr>
            </w:pPr>
            <w:r w:rsidRPr="00597743">
              <w:rPr>
                <w:rFonts w:cs="Arial"/>
                <w:szCs w:val="16"/>
              </w:rPr>
              <w:t>(3.1) Resolution meetings (applicable ONLY for states using Part B due process hearing procedures).</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D50ED50" w14:textId="77777777" w:rsidR="00D21F29" w:rsidRPr="00597743" w:rsidRDefault="00D21F29" w:rsidP="0023758D">
            <w:pPr>
              <w:rPr>
                <w:rFonts w:cs="Arial"/>
                <w:szCs w:val="16"/>
              </w:rPr>
            </w:pPr>
            <w:r w:rsidRPr="00597743">
              <w:rPr>
                <w:rFonts w:cs="Arial"/>
                <w:szCs w:val="16"/>
              </w:rPr>
              <w:t>0</w:t>
            </w:r>
          </w:p>
        </w:tc>
      </w:tr>
      <w:tr w:rsidR="00D21F29" w:rsidRPr="00597743" w14:paraId="29F4AB55"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1F9391C" w14:textId="77777777" w:rsidR="00D21F29" w:rsidRPr="00597743" w:rsidRDefault="00D21F29" w:rsidP="0023758D">
            <w:pPr>
              <w:rPr>
                <w:rFonts w:cs="Arial"/>
                <w:szCs w:val="16"/>
              </w:rPr>
            </w:pPr>
            <w:r w:rsidRPr="00597743">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110BB77" w14:textId="77777777" w:rsidR="00D21F29" w:rsidRPr="00597743" w:rsidRDefault="00D21F29" w:rsidP="0023758D">
            <w:pPr>
              <w:rPr>
                <w:rFonts w:cs="Arial"/>
                <w:szCs w:val="16"/>
              </w:rPr>
            </w:pPr>
            <w:r w:rsidRPr="00597743">
              <w:rPr>
                <w:rFonts w:cs="Arial"/>
                <w:szCs w:val="16"/>
              </w:rPr>
              <w:t>0</w:t>
            </w:r>
          </w:p>
        </w:tc>
      </w:tr>
      <w:tr w:rsidR="00D21F29" w:rsidRPr="00597743" w14:paraId="2C0BD5D8"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A5DB352" w14:textId="77777777" w:rsidR="00D21F29" w:rsidRPr="00597743" w:rsidRDefault="00D21F29" w:rsidP="0023758D">
            <w:pPr>
              <w:rPr>
                <w:rFonts w:cs="Arial"/>
                <w:szCs w:val="16"/>
              </w:rPr>
            </w:pPr>
            <w:r w:rsidRPr="00597743">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7B529A7" w14:textId="77777777" w:rsidR="00D21F29" w:rsidRPr="00597743" w:rsidRDefault="00D21F29" w:rsidP="0023758D">
            <w:pPr>
              <w:rPr>
                <w:rFonts w:cs="Arial"/>
                <w:szCs w:val="16"/>
              </w:rPr>
            </w:pPr>
            <w:r w:rsidRPr="00597743">
              <w:rPr>
                <w:rFonts w:cs="Arial"/>
                <w:szCs w:val="16"/>
              </w:rPr>
              <w:t>0</w:t>
            </w:r>
          </w:p>
        </w:tc>
      </w:tr>
      <w:tr w:rsidR="00D21F29" w:rsidRPr="00597743" w14:paraId="15D7F358"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5D1781B4" w14:textId="77777777" w:rsidR="00D21F29" w:rsidRPr="00597743" w:rsidRDefault="00D21F29" w:rsidP="0023758D">
            <w:pPr>
              <w:rPr>
                <w:rFonts w:cs="Arial"/>
                <w:szCs w:val="16"/>
              </w:rPr>
            </w:pPr>
            <w:r w:rsidRPr="00597743">
              <w:rPr>
                <w:rFonts w:cs="Arial"/>
                <w:szCs w:val="16"/>
              </w:rPr>
              <w:t xml:space="preserve">(3.2) (a) Decisions within timeline.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9D7C61B" w14:textId="77777777" w:rsidR="00D21F29" w:rsidRPr="00597743" w:rsidRDefault="00D21F29" w:rsidP="0023758D">
            <w:pPr>
              <w:rPr>
                <w:rFonts w:cs="Arial"/>
                <w:szCs w:val="16"/>
              </w:rPr>
            </w:pPr>
            <w:r w:rsidRPr="00597743">
              <w:rPr>
                <w:rFonts w:cs="Arial"/>
                <w:szCs w:val="16"/>
              </w:rPr>
              <w:t>0</w:t>
            </w:r>
          </w:p>
        </w:tc>
      </w:tr>
      <w:tr w:rsidR="00D21F29" w:rsidRPr="00597743" w14:paraId="0DA8939E"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89F4246" w14:textId="77777777" w:rsidR="00D21F29" w:rsidRPr="00597743" w:rsidRDefault="00D21F29" w:rsidP="0023758D">
            <w:pPr>
              <w:rPr>
                <w:rFonts w:cs="Arial"/>
                <w:szCs w:val="16"/>
              </w:rPr>
            </w:pPr>
            <w:r w:rsidRPr="00597743">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0BE3FF6" w14:textId="77777777" w:rsidR="00D21F29" w:rsidRPr="00597743" w:rsidRDefault="00D21F29" w:rsidP="0023758D">
            <w:pPr>
              <w:rPr>
                <w:rFonts w:cs="Arial"/>
                <w:szCs w:val="16"/>
              </w:rPr>
            </w:pPr>
            <w:r w:rsidRPr="00597743">
              <w:rPr>
                <w:rFonts w:cs="Arial"/>
                <w:szCs w:val="16"/>
              </w:rPr>
              <w:t>0</w:t>
            </w:r>
          </w:p>
        </w:tc>
      </w:tr>
      <w:tr w:rsidR="00D21F29" w:rsidRPr="00597743" w14:paraId="466514CB"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1733C04F" w14:textId="77777777" w:rsidR="00D21F29" w:rsidRPr="00597743" w:rsidRDefault="00D21F29" w:rsidP="0023758D">
            <w:pPr>
              <w:rPr>
                <w:rFonts w:cs="Arial"/>
                <w:szCs w:val="16"/>
              </w:rPr>
            </w:pPr>
            <w:r w:rsidRPr="00597743">
              <w:rPr>
                <w:rFonts w:cs="Arial"/>
                <w:szCs w:val="16"/>
              </w:rPr>
              <w:t xml:space="preserve">(3.3) Hearings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7655B1C" w14:textId="77777777" w:rsidR="00D21F29" w:rsidRPr="00597743" w:rsidRDefault="00D21F29" w:rsidP="0023758D">
            <w:pPr>
              <w:rPr>
                <w:rFonts w:cs="Arial"/>
                <w:szCs w:val="16"/>
              </w:rPr>
            </w:pPr>
            <w:r w:rsidRPr="00597743">
              <w:rPr>
                <w:rFonts w:cs="Arial"/>
                <w:szCs w:val="16"/>
              </w:rPr>
              <w:t>0</w:t>
            </w:r>
          </w:p>
        </w:tc>
      </w:tr>
      <w:tr w:rsidR="00D21F29" w:rsidRPr="00597743" w14:paraId="08FC19D5" w14:textId="77777777" w:rsidTr="0023758D">
        <w:trPr>
          <w:trHeight w:val="242"/>
        </w:trPr>
        <w:tc>
          <w:tcPr>
            <w:tcW w:w="3709" w:type="pct"/>
            <w:tcBorders>
              <w:top w:val="single" w:sz="4" w:space="0" w:color="auto"/>
              <w:left w:val="single" w:sz="4" w:space="0" w:color="auto"/>
              <w:bottom w:val="single" w:sz="4" w:space="0" w:color="auto"/>
              <w:right w:val="single" w:sz="4" w:space="0" w:color="auto"/>
            </w:tcBorders>
            <w:shd w:val="clear" w:color="auto" w:fill="auto"/>
            <w:hideMark/>
          </w:tcPr>
          <w:p w14:paraId="2EDB7E7F" w14:textId="77777777" w:rsidR="00D21F29" w:rsidRPr="00597743" w:rsidRDefault="00D21F29" w:rsidP="0023758D">
            <w:pPr>
              <w:rPr>
                <w:rFonts w:cs="Arial"/>
                <w:szCs w:val="16"/>
              </w:rPr>
            </w:pPr>
            <w:r w:rsidRPr="00597743">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590A44E" w14:textId="77777777" w:rsidR="00D21F29" w:rsidRPr="00597743" w:rsidRDefault="00D21F29" w:rsidP="0023758D">
            <w:pPr>
              <w:rPr>
                <w:rFonts w:cs="Arial"/>
                <w:szCs w:val="16"/>
              </w:rPr>
            </w:pPr>
            <w:r w:rsidRPr="00597743">
              <w:rPr>
                <w:rFonts w:cs="Arial"/>
                <w:szCs w:val="16"/>
              </w:rPr>
              <w:t>0</w:t>
            </w:r>
          </w:p>
        </w:tc>
      </w:tr>
    </w:tbl>
    <w:p w14:paraId="4A77BD85" w14:textId="77777777" w:rsidR="00D21F29" w:rsidRPr="00597743" w:rsidRDefault="00D21F29" w:rsidP="00D21F29">
      <w:pPr>
        <w:spacing w:before="0" w:after="0"/>
      </w:pPr>
    </w:p>
    <w:p w14:paraId="6EAE798B" w14:textId="77777777" w:rsidR="00D21F29" w:rsidRPr="00597743" w:rsidRDefault="00D21F29" w:rsidP="00D21F29">
      <w:pPr>
        <w:spacing w:before="0" w:after="0"/>
        <w:rPr>
          <w:b/>
          <w:bCs/>
        </w:rPr>
      </w:pPr>
      <w:r w:rsidRPr="00597743">
        <w:rPr>
          <w:b/>
          <w:bCs/>
        </w:rPr>
        <w:t xml:space="preserve">State Comments: </w:t>
      </w:r>
    </w:p>
    <w:p w14:paraId="3679CEB8" w14:textId="77777777" w:rsidR="00D21F29" w:rsidRPr="00597743" w:rsidRDefault="00D21F29" w:rsidP="00D21F29">
      <w:pPr>
        <w:spacing w:before="0" w:after="0"/>
      </w:pPr>
      <w:r w:rsidRPr="00597743">
        <w:t>Nevada’s Individuals with Disabilities Education Act (IDEA) Part C policy timeframe for completion of investigations is 60 days. However, due to a critical staff shortage and new staff hiring, each of the two reports were completed past the 60-day timeline. The first complaint was filed on Aug. 25, 2022. The 60-day timeline for the first investigation report was Oct. 24, 2022. However, the letter along with the finalized report, was provided to the complainant and EI program on Jan. 27, 2023. The first report was 96 days past the timeline. The Part C Office notified both the complainant and the program throughout the investigation regarding the impacted timeline. Investigation required both program staff and parent interviews. Prior to Part C staff turnover, parent interviews were attempted but calls were not returned. Program staff interviews were completed by Nov. 2022. After Part C staff turnover in Dec. 2022 and Jan. 2023, ten parent interviews were completed. The program developed their Corrective Action Plan (CAP</w:t>
      </w:r>
      <w:proofErr w:type="gramStart"/>
      <w:r w:rsidRPr="00597743">
        <w:t>)</w:t>
      </w:r>
      <w:proofErr w:type="gramEnd"/>
      <w:r w:rsidRPr="00597743">
        <w:t xml:space="preserve"> and correction is ongoing since Jul. 2023. Areas of concern were Individualized Family Service Plan (IFSP) implementation and development, procedural safeguards, and transition conferences. The program has corrected in all areas, except for completing staff training in each area. Delay occurred due to late receipt of materials from the Nevada Early Intervention Services (NEIS) trainer. Materials were sent Sept. 15, </w:t>
      </w:r>
      <w:proofErr w:type="gramStart"/>
      <w:r w:rsidRPr="00597743">
        <w:t>2023</w:t>
      </w:r>
      <w:proofErr w:type="gramEnd"/>
      <w:r w:rsidRPr="00597743">
        <w:t xml:space="preserve"> after several requests. Full correction will be reported in the next data collection of Dispute Resolution. The second complaint was received by the Part C Office on Nov. 15, 2022. The expected completion of the report was Jan. 14, 2023. The report was provided to all parties on Feb. 23, </w:t>
      </w:r>
      <w:proofErr w:type="gramStart"/>
      <w:r w:rsidRPr="00597743">
        <w:t>2023</w:t>
      </w:r>
      <w:proofErr w:type="gramEnd"/>
      <w:r w:rsidRPr="00597743">
        <w:t xml:space="preserve"> upon completion 40 days after the anticipated date. </w:t>
      </w:r>
      <w:r w:rsidRPr="00597743">
        <w:lastRenderedPageBreak/>
        <w:t xml:space="preserve">After Part C staff turnover, the new liaison needed to conduct interviews of staff and family as well as a second review of the record to complete the investigation. The Part C Office corresponded with the complainant regarding the impacted timeline and shared information regarding advocacy and support during the ongoing investigation. Throughout the period following the investigation Feb. 23, </w:t>
      </w:r>
      <w:proofErr w:type="gramStart"/>
      <w:r w:rsidRPr="00597743">
        <w:t>2023</w:t>
      </w:r>
      <w:proofErr w:type="gramEnd"/>
      <w:r w:rsidRPr="00597743">
        <w:t xml:space="preserve"> to Oct. 30, 2023, Part C met with the program three times to follow-up and check in on progress toward full correction. The program developed their CAP with Part C support. As a result of the CAP, the program developed trainings regarding program-wide application of in-person services to ensure equitable service delivery to rural communities, Developmental Specialist training for documenting services on IFSPs, and identifying family priorities. The complainant was offered compensatory services, which was declined. Finally, a technical assistance memo was provided to all programs on tele-health as a service delivery method. The program has corrected in six of seven areas of the CAP. The program is in the process of providing documentation to correct the last area. Full correction will be reported in the next data collection of Dispute Resolution. The Part C Office has made continued efforts for recruitment and retention of regulatory staff. During Nov. 2022 and Jan. 2023, a few staff retired. New staff filled these positions during Dec. 2022 and Jan. 2023. In Sept. 2022, two position requests were made so that the retiring staff could have a warm handoff with the new staff. However, only one retiree was available to work with one new staff for one week due to the critical staff shortages experienced in the Directors Office Human Resources (HR) and Fiscal offices. Our office experienced a natural disaster during Dec. 2022 with flooding damage to our Carson City office. After the flooding incident, existing staff worked overtime to meet critical timelines: including Annual Performance Report (APR), complaint investigations and reports, ongoing technical assistance, and new Part C staff orientation and training.</w:t>
      </w:r>
    </w:p>
    <w:p w14:paraId="79FC412E" w14:textId="77777777" w:rsidR="00D21F29" w:rsidRPr="00597743" w:rsidRDefault="00D21F29" w:rsidP="00D21F29">
      <w:pPr>
        <w:spacing w:before="0" w:after="0"/>
      </w:pPr>
    </w:p>
    <w:p w14:paraId="143166FD" w14:textId="77777777" w:rsidR="00D21F29" w:rsidRPr="00597743" w:rsidRDefault="00D21F29" w:rsidP="00D21F29">
      <w:pPr>
        <w:spacing w:before="0" w:after="0"/>
      </w:pPr>
    </w:p>
    <w:p w14:paraId="71021384" w14:textId="12AB5682" w:rsidR="005E10AF" w:rsidRPr="005E10AF" w:rsidRDefault="00D21F29" w:rsidP="005E10AF">
      <w:pPr>
        <w:spacing w:before="0" w:after="0"/>
        <w:rPr>
          <w:b/>
          <w:bCs/>
        </w:rPr>
      </w:pPr>
      <w:r w:rsidRPr="005E10AF">
        <w:rPr>
          <w:b/>
          <w:bCs/>
        </w:rPr>
        <w:t>This report shows the most recent data that was entered by</w:t>
      </w:r>
      <w:r w:rsidR="005E10AF" w:rsidRPr="005E10AF">
        <w:rPr>
          <w:b/>
          <w:bCs/>
        </w:rPr>
        <w:t>:</w:t>
      </w:r>
    </w:p>
    <w:p w14:paraId="0CE90B53" w14:textId="6E617C64" w:rsidR="005E10AF" w:rsidRDefault="00D21F29" w:rsidP="00D21F29">
      <w:pPr>
        <w:spacing w:before="0" w:after="200" w:line="276" w:lineRule="auto"/>
      </w:pPr>
      <w:r w:rsidRPr="00597743">
        <w:t>Nevada</w:t>
      </w:r>
    </w:p>
    <w:p w14:paraId="34F7578B" w14:textId="77777777" w:rsidR="005E10AF" w:rsidRPr="005E10AF" w:rsidRDefault="00D21F29" w:rsidP="005E10AF">
      <w:pPr>
        <w:spacing w:before="0" w:after="0"/>
        <w:rPr>
          <w:b/>
          <w:bCs/>
        </w:rPr>
      </w:pPr>
      <w:r w:rsidRPr="005E10AF">
        <w:rPr>
          <w:b/>
          <w:bCs/>
        </w:rPr>
        <w:t>These data were extracted on the close date</w:t>
      </w:r>
      <w:r w:rsidR="005E10AF" w:rsidRPr="005E10AF">
        <w:rPr>
          <w:b/>
          <w:bCs/>
        </w:rPr>
        <w:t>:</w:t>
      </w:r>
    </w:p>
    <w:p w14:paraId="2D73293C" w14:textId="39600D9F" w:rsidR="00A241E8" w:rsidRDefault="00D21F29" w:rsidP="00D21F29">
      <w:pPr>
        <w:spacing w:before="0" w:after="200" w:line="276" w:lineRule="auto"/>
      </w:pPr>
      <w:r w:rsidRPr="00597743">
        <w:t>11/15/2023</w:t>
      </w:r>
      <w:bookmarkEnd w:id="89"/>
    </w:p>
    <w:p w14:paraId="1C92960C" w14:textId="3E9313DD" w:rsidR="005E10AF" w:rsidRDefault="005E10AF">
      <w:pPr>
        <w:spacing w:before="0" w:after="200" w:line="276" w:lineRule="auto"/>
      </w:pPr>
      <w:r>
        <w:br w:type="page"/>
      </w:r>
    </w:p>
    <w:p w14:paraId="4F693312" w14:textId="07B49994" w:rsidR="000135C2" w:rsidRPr="00DC6D97" w:rsidRDefault="000135C2" w:rsidP="00C571DA">
      <w:pPr>
        <w:pStyle w:val="Heading2"/>
      </w:pPr>
      <w:r w:rsidRPr="00DC6D97">
        <w:lastRenderedPageBreak/>
        <w:t>How the Department Made Determinations</w:t>
      </w:r>
    </w:p>
    <w:p w14:paraId="1D58C3C5" w14:textId="77777777" w:rsidR="002D491B" w:rsidRPr="00852D39" w:rsidRDefault="002D491B" w:rsidP="00815E41">
      <w:pPr>
        <w:pStyle w:val="BodyText"/>
        <w:spacing w:before="7"/>
        <w:rPr>
          <w:rFonts w:ascii="Arial" w:eastAsia="Calibri" w:hAnsi="Arial" w:cs="Arial"/>
          <w:b/>
          <w:color w:val="20798E"/>
          <w:sz w:val="28"/>
          <w:szCs w:val="18"/>
          <w:u w:val="thick" w:color="8DB3E1"/>
        </w:rPr>
      </w:pPr>
    </w:p>
    <w:p w14:paraId="6264FEA6" w14:textId="48F26BF5" w:rsidR="009E43D9" w:rsidRPr="004D63DC" w:rsidRDefault="009E43D9" w:rsidP="009E43D9">
      <w:pPr>
        <w:rPr>
          <w:rFonts w:cs="Arial"/>
          <w:szCs w:val="16"/>
        </w:rPr>
      </w:pPr>
      <w:r w:rsidRPr="004D63DC">
        <w:rPr>
          <w:rFonts w:cs="Arial"/>
          <w:szCs w:val="16"/>
        </w:rPr>
        <w:t>Below is the location of How the Department Made Determinations (HTDMD) on OSEP’s IDEA Website.  How the Department Made Determinations in 2024 will be posted in June 2024. Copy and paste the link below into a browser to view.</w:t>
      </w:r>
    </w:p>
    <w:p w14:paraId="325E4192" w14:textId="77777777" w:rsidR="002D491B" w:rsidRPr="004D63DC" w:rsidRDefault="002D491B" w:rsidP="002D491B">
      <w:pPr>
        <w:pStyle w:val="BodyText"/>
        <w:spacing w:before="7"/>
        <w:rPr>
          <w:rFonts w:ascii="Arial" w:eastAsia="Calibri" w:hAnsi="Arial" w:cs="Arial"/>
          <w:sz w:val="16"/>
          <w:szCs w:val="16"/>
        </w:rPr>
      </w:pPr>
    </w:p>
    <w:p w14:paraId="7B3F3D6E" w14:textId="7D0D8BAA" w:rsidR="00FD047C" w:rsidRDefault="000A150C" w:rsidP="002D491B">
      <w:pPr>
        <w:spacing w:before="0" w:after="200" w:line="276" w:lineRule="auto"/>
        <w:rPr>
          <w:rStyle w:val="Hyperlink"/>
          <w:szCs w:val="16"/>
        </w:rPr>
      </w:pPr>
      <w:hyperlink r:id="rId15" w:history="1">
        <w:r w:rsidR="00496C09" w:rsidRPr="004D63DC">
          <w:rPr>
            <w:rStyle w:val="Hyperlink"/>
            <w:szCs w:val="16"/>
          </w:rPr>
          <w:t>https://sites.ed.gov/idea/how-the-department-made-determinations/</w:t>
        </w:r>
      </w:hyperlink>
    </w:p>
    <w:p w14:paraId="0CA4F547" w14:textId="77777777" w:rsidR="00D21F29" w:rsidRDefault="00D21F29" w:rsidP="002D491B">
      <w:pPr>
        <w:spacing w:before="0" w:after="200" w:line="276" w:lineRule="auto"/>
        <w:rPr>
          <w:rStyle w:val="Hyperlink"/>
          <w:szCs w:val="16"/>
        </w:rPr>
      </w:pPr>
    </w:p>
    <w:p w14:paraId="697CB0C6" w14:textId="6F96819B" w:rsidR="00D21F29" w:rsidRDefault="00D21F29">
      <w:pPr>
        <w:spacing w:before="0" w:after="200" w:line="276" w:lineRule="auto"/>
        <w:rPr>
          <w:rStyle w:val="Hyperlink"/>
          <w:szCs w:val="16"/>
        </w:rPr>
      </w:pPr>
      <w:r>
        <w:rPr>
          <w:rStyle w:val="Hyperlink"/>
          <w:szCs w:val="16"/>
        </w:rPr>
        <w:br w:type="page"/>
      </w:r>
    </w:p>
    <w:p w14:paraId="755D434F" w14:textId="77777777" w:rsidR="00D21F29" w:rsidRDefault="00D21F29" w:rsidP="002D491B">
      <w:pPr>
        <w:spacing w:before="0" w:after="200" w:line="276" w:lineRule="auto"/>
        <w:rPr>
          <w:rFonts w:cs="Arial"/>
          <w:b/>
          <w:bCs/>
          <w:szCs w:val="16"/>
        </w:rPr>
        <w:sectPr w:rsidR="00D21F29" w:rsidSect="00BF3AB4">
          <w:footerReference w:type="default" r:id="rId16"/>
          <w:pgSz w:w="12240" w:h="15840"/>
          <w:pgMar w:top="720" w:right="720" w:bottom="720" w:left="720" w:header="0" w:footer="445" w:gutter="0"/>
          <w:cols w:space="720"/>
          <w:docGrid w:linePitch="218"/>
        </w:sectPr>
      </w:pPr>
    </w:p>
    <w:p w14:paraId="22C54C5E" w14:textId="77777777" w:rsidR="00D21F29" w:rsidRPr="00597743" w:rsidRDefault="00D21F29" w:rsidP="00D21F29">
      <w:pPr>
        <w:pStyle w:val="Heading2"/>
      </w:pPr>
      <w:r w:rsidRPr="00597743">
        <w:lastRenderedPageBreak/>
        <w:t xml:space="preserve">Final Determination Letter </w:t>
      </w:r>
    </w:p>
    <w:p w14:paraId="060F7750" w14:textId="77777777" w:rsidR="00D21F29" w:rsidRPr="00CE7212" w:rsidRDefault="00D21F29" w:rsidP="00D21F29">
      <w:pPr>
        <w:spacing w:before="0" w:after="200" w:line="276" w:lineRule="auto"/>
        <w:rPr>
          <w:rFonts w:eastAsiaTheme="majorEastAsia" w:cstheme="majorBidi"/>
          <w:b/>
          <w:bCs/>
          <w:sz w:val="20"/>
          <w:szCs w:val="26"/>
        </w:rPr>
      </w:pPr>
    </w:p>
    <w:p w14:paraId="1A60DE47" w14:textId="635BDC2D" w:rsidR="00D21F29" w:rsidRPr="00597743" w:rsidRDefault="00D21F29" w:rsidP="00D21F29">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2024</w:t>
      </w:r>
    </w:p>
    <w:p w14:paraId="113C15B3" w14:textId="77777777" w:rsidR="00D21F29" w:rsidRPr="00597743" w:rsidRDefault="00D21F29" w:rsidP="00D21F29">
      <w:pPr>
        <w:rPr>
          <w:szCs w:val="24"/>
        </w:rPr>
      </w:pPr>
      <w:r w:rsidRPr="00597743">
        <w:rPr>
          <w:szCs w:val="24"/>
        </w:rPr>
        <w:t>Honorable Shannon Litz</w:t>
      </w:r>
    </w:p>
    <w:p w14:paraId="49192794" w14:textId="77777777" w:rsidR="00D21F29" w:rsidRPr="00597743" w:rsidRDefault="00D21F29" w:rsidP="00D21F29">
      <w:pPr>
        <w:spacing w:before="0"/>
        <w:rPr>
          <w:szCs w:val="24"/>
        </w:rPr>
      </w:pPr>
      <w:r w:rsidRPr="00597743">
        <w:rPr>
          <w:szCs w:val="24"/>
        </w:rPr>
        <w:t>Deputy Director, Programs</w:t>
      </w:r>
    </w:p>
    <w:p w14:paraId="65103167" w14:textId="77777777" w:rsidR="00D21F29" w:rsidRPr="00597743" w:rsidRDefault="00D21F29" w:rsidP="00D21F29">
      <w:pPr>
        <w:spacing w:before="0"/>
        <w:rPr>
          <w:szCs w:val="24"/>
        </w:rPr>
      </w:pPr>
      <w:r w:rsidRPr="00597743">
        <w:rPr>
          <w:szCs w:val="24"/>
        </w:rPr>
        <w:t>Nevada Department of Health and Human Services</w:t>
      </w:r>
    </w:p>
    <w:p w14:paraId="3944380D" w14:textId="77777777" w:rsidR="00D21F29" w:rsidRPr="00597743" w:rsidRDefault="00D21F29" w:rsidP="00D21F29">
      <w:pPr>
        <w:spacing w:before="0"/>
        <w:rPr>
          <w:szCs w:val="24"/>
        </w:rPr>
      </w:pPr>
      <w:r w:rsidRPr="00597743">
        <w:rPr>
          <w:szCs w:val="24"/>
        </w:rPr>
        <w:t xml:space="preserve">1000 North Division Street </w:t>
      </w:r>
    </w:p>
    <w:p w14:paraId="09271953" w14:textId="77777777" w:rsidR="00D21F29" w:rsidRPr="00597743" w:rsidRDefault="00D21F29" w:rsidP="00D21F29">
      <w:pPr>
        <w:spacing w:before="0"/>
        <w:rPr>
          <w:szCs w:val="24"/>
        </w:rPr>
      </w:pPr>
      <w:r w:rsidRPr="00597743">
        <w:rPr>
          <w:szCs w:val="24"/>
        </w:rPr>
        <w:t>Carson City, NV 89703</w:t>
      </w:r>
    </w:p>
    <w:p w14:paraId="68207178" w14:textId="77777777" w:rsidR="002E2B1F" w:rsidRPr="00597743" w:rsidRDefault="002E2B1F" w:rsidP="00D21F29">
      <w:pPr>
        <w:spacing w:before="0"/>
        <w:rPr>
          <w:szCs w:val="24"/>
        </w:rPr>
      </w:pPr>
    </w:p>
    <w:p w14:paraId="65BC8656" w14:textId="77777777" w:rsidR="00D21F29" w:rsidRPr="00597743" w:rsidRDefault="00D21F29" w:rsidP="00D21F29">
      <w:pPr>
        <w:rPr>
          <w:szCs w:val="24"/>
        </w:rPr>
      </w:pPr>
      <w:r w:rsidRPr="00597743">
        <w:rPr>
          <w:szCs w:val="24"/>
        </w:rPr>
        <w:t>Dear Deputy Director Litz:</w:t>
      </w:r>
    </w:p>
    <w:p w14:paraId="0C7A7400" w14:textId="77777777" w:rsidR="00D21F29" w:rsidRPr="00CE7212" w:rsidRDefault="00D21F29" w:rsidP="00D21F29">
      <w:pPr>
        <w:spacing w:before="0" w:after="0"/>
        <w:rPr>
          <w:rStyle w:val="ui-provider"/>
        </w:rPr>
      </w:pPr>
    </w:p>
    <w:p w14:paraId="16239D77" w14:textId="77777777" w:rsidR="00D21F29" w:rsidRPr="00597743" w:rsidRDefault="00D21F29" w:rsidP="00D21F29">
      <w:r w:rsidRPr="00597743">
        <w:t>I am writing to advise you of the U.S. Department of Education</w:t>
      </w:r>
      <w:r w:rsidRPr="00597743">
        <w:rPr>
          <w:szCs w:val="24"/>
        </w:rPr>
        <w:t>’</w:t>
      </w:r>
      <w:r w:rsidRPr="00597743">
        <w:t>s (Department) 2024</w:t>
      </w:r>
      <w:r w:rsidRPr="00597743">
        <w:rPr>
          <w:szCs w:val="24"/>
        </w:rPr>
        <w:t xml:space="preserve"> </w:t>
      </w:r>
      <w:r w:rsidRPr="00597743">
        <w:t>determination under Sections 616 and 642 of the Individuals with Disabilities Education Act (IDEA</w:t>
      </w:r>
      <w:r w:rsidRPr="00597743">
        <w:rPr>
          <w:szCs w:val="24"/>
        </w:rPr>
        <w:t xml:space="preserve">). </w:t>
      </w:r>
      <w:r w:rsidRPr="00597743">
        <w:t>The Department has determined that</w:t>
      </w:r>
      <w:r w:rsidRPr="00597743">
        <w:rPr>
          <w:szCs w:val="24"/>
        </w:rPr>
        <w:t xml:space="preserve"> </w:t>
      </w:r>
      <w:r w:rsidRPr="00597743">
        <w:t>Nevada</w:t>
      </w:r>
      <w:r w:rsidRPr="00597743">
        <w:rPr>
          <w:szCs w:val="24"/>
        </w:rPr>
        <w:t xml:space="preserve"> </w:t>
      </w:r>
      <w:r w:rsidRPr="00597743">
        <w:t>needs assistance in meeting the requirements of Part C of the IDEA</w:t>
      </w:r>
      <w:r w:rsidRPr="00597743">
        <w:rPr>
          <w:szCs w:val="24"/>
        </w:rPr>
        <w:t xml:space="preserve">. </w:t>
      </w:r>
      <w:r w:rsidRPr="00597743">
        <w:t xml:space="preserve">This determination is based on the totality of </w:t>
      </w:r>
      <w:r w:rsidRPr="006264F6">
        <w:t>Nevada's</w:t>
      </w:r>
      <w:r>
        <w:t xml:space="preserve"> </w:t>
      </w:r>
      <w:r w:rsidRPr="00597743">
        <w:t>data and information, including the Federal fiscal year (FFY) 202</w:t>
      </w:r>
      <w:r>
        <w:t>2</w:t>
      </w:r>
      <w:r w:rsidRPr="00597743">
        <w:rPr>
          <w:szCs w:val="24"/>
        </w:rPr>
        <w:t xml:space="preserve"> </w:t>
      </w:r>
      <w:r w:rsidRPr="00597743">
        <w:t>State Performance Plan/Annual Performance Report (SPP/APR)</w:t>
      </w:r>
      <w:r w:rsidRPr="00597743">
        <w:rPr>
          <w:szCs w:val="24"/>
        </w:rPr>
        <w:t xml:space="preserve">, </w:t>
      </w:r>
      <w:r w:rsidRPr="00597743">
        <w:t>other State-reported data, and other publicly available information.</w:t>
      </w:r>
    </w:p>
    <w:p w14:paraId="559F9BD4" w14:textId="77777777" w:rsidR="00D21F29" w:rsidRPr="00CE7212" w:rsidRDefault="00D21F29" w:rsidP="00D21F29">
      <w:r w:rsidRPr="006264F6">
        <w:t>Nevada's</w:t>
      </w:r>
      <w:r w:rsidRPr="00597743">
        <w:t xml:space="preserve"> 2024 determination is based on the data reflected in </w:t>
      </w:r>
      <w:r w:rsidRPr="006264F6">
        <w:t>Nevada's</w:t>
      </w:r>
      <w:r w:rsidRPr="006264F6" w:rsidDel="006264F6">
        <w:t xml:space="preserve"> </w:t>
      </w:r>
      <w:r w:rsidRPr="00597743">
        <w:t xml:space="preserve">“2024 Part C Results-Driven Accountability Matrix” (RDA Matrix). </w:t>
      </w:r>
      <w:r w:rsidRPr="00CE7212">
        <w:t xml:space="preserve">The RDA Matrix is individualized for </w:t>
      </w:r>
      <w:r w:rsidRPr="00597743">
        <w:t>Nevada</w:t>
      </w:r>
      <w:r w:rsidRPr="00CE7212">
        <w:t xml:space="preserve"> and consists of: </w:t>
      </w:r>
    </w:p>
    <w:p w14:paraId="6729F831" w14:textId="77777777" w:rsidR="00D21F29" w:rsidRPr="00CE7212" w:rsidRDefault="00D21F29" w:rsidP="00D21F29">
      <w:pPr>
        <w:numPr>
          <w:ilvl w:val="0"/>
          <w:numId w:val="21"/>
        </w:numPr>
        <w:spacing w:before="120" w:after="0"/>
        <w:rPr>
          <w:szCs w:val="24"/>
        </w:rPr>
      </w:pPr>
      <w:r w:rsidRPr="00CE7212">
        <w:rPr>
          <w:szCs w:val="24"/>
        </w:rPr>
        <w:t xml:space="preserve">a Compliance Matrix that includes scoring on Compliance Indicators and other compliance </w:t>
      </w:r>
      <w:proofErr w:type="gramStart"/>
      <w:r w:rsidRPr="00CE7212">
        <w:rPr>
          <w:szCs w:val="24"/>
        </w:rPr>
        <w:t>factors;</w:t>
      </w:r>
      <w:proofErr w:type="gramEnd"/>
    </w:p>
    <w:p w14:paraId="50236A62" w14:textId="1F6DE54B" w:rsidR="00D21F29" w:rsidRPr="00CE7212" w:rsidRDefault="003E1ADD" w:rsidP="00D21F29">
      <w:pPr>
        <w:numPr>
          <w:ilvl w:val="0"/>
          <w:numId w:val="21"/>
        </w:numPr>
        <w:spacing w:before="120" w:after="0"/>
        <w:rPr>
          <w:szCs w:val="24"/>
        </w:rPr>
      </w:pPr>
      <w:r>
        <w:rPr>
          <w:szCs w:val="24"/>
        </w:rPr>
        <w:t xml:space="preserve">a </w:t>
      </w:r>
      <w:r w:rsidR="00D21F29" w:rsidRPr="00CE7212">
        <w:rPr>
          <w:szCs w:val="24"/>
        </w:rPr>
        <w:t xml:space="preserve">Results </w:t>
      </w:r>
      <w:r>
        <w:rPr>
          <w:szCs w:val="24"/>
        </w:rPr>
        <w:t xml:space="preserve">Matrix (including </w:t>
      </w:r>
      <w:r w:rsidR="00D21F29" w:rsidRPr="00CE7212">
        <w:rPr>
          <w:szCs w:val="24"/>
        </w:rPr>
        <w:t>Components and Appendices</w:t>
      </w:r>
      <w:r>
        <w:rPr>
          <w:szCs w:val="24"/>
        </w:rPr>
        <w:t>)</w:t>
      </w:r>
      <w:r w:rsidR="00D21F29" w:rsidRPr="00CE7212">
        <w:rPr>
          <w:szCs w:val="24"/>
        </w:rPr>
        <w:t xml:space="preserve"> that include scoring on Results </w:t>
      </w:r>
      <w:proofErr w:type="gramStart"/>
      <w:r w:rsidR="00D21F29" w:rsidRPr="00CE7212">
        <w:rPr>
          <w:szCs w:val="24"/>
        </w:rPr>
        <w:t>Elements;</w:t>
      </w:r>
      <w:proofErr w:type="gramEnd"/>
    </w:p>
    <w:p w14:paraId="79B511BB" w14:textId="77777777" w:rsidR="00D21F29" w:rsidRPr="00CE7212" w:rsidRDefault="00D21F29" w:rsidP="00D21F29">
      <w:pPr>
        <w:numPr>
          <w:ilvl w:val="0"/>
          <w:numId w:val="21"/>
        </w:numPr>
        <w:spacing w:before="120" w:after="0"/>
        <w:rPr>
          <w:szCs w:val="24"/>
        </w:rPr>
      </w:pPr>
      <w:r w:rsidRPr="00CE7212">
        <w:rPr>
          <w:szCs w:val="24"/>
        </w:rPr>
        <w:t xml:space="preserve">a Compliance Score and a Results </w:t>
      </w:r>
      <w:proofErr w:type="gramStart"/>
      <w:r w:rsidRPr="00CE7212">
        <w:rPr>
          <w:szCs w:val="24"/>
        </w:rPr>
        <w:t>Score;</w:t>
      </w:r>
      <w:proofErr w:type="gramEnd"/>
    </w:p>
    <w:p w14:paraId="327634DC" w14:textId="77777777" w:rsidR="00D21F29" w:rsidRPr="00CE7212" w:rsidRDefault="00D21F29" w:rsidP="00D21F29">
      <w:pPr>
        <w:numPr>
          <w:ilvl w:val="0"/>
          <w:numId w:val="21"/>
        </w:numPr>
        <w:spacing w:before="120" w:after="0"/>
        <w:rPr>
          <w:szCs w:val="24"/>
        </w:rPr>
      </w:pPr>
      <w:r w:rsidRPr="00CE7212">
        <w:rPr>
          <w:szCs w:val="24"/>
        </w:rPr>
        <w:t>an RDA Percentage based on both the Compliance Score and the Results Score; and</w:t>
      </w:r>
    </w:p>
    <w:p w14:paraId="7BD6B48F" w14:textId="77777777" w:rsidR="00D21F29" w:rsidRPr="00CE7212" w:rsidRDefault="00D21F29" w:rsidP="00D21F29">
      <w:pPr>
        <w:numPr>
          <w:ilvl w:val="0"/>
          <w:numId w:val="21"/>
        </w:numPr>
        <w:spacing w:before="120" w:after="0"/>
        <w:rPr>
          <w:szCs w:val="24"/>
        </w:rPr>
      </w:pPr>
      <w:r w:rsidRPr="006264F6">
        <w:t>Nevada's</w:t>
      </w:r>
      <w:r w:rsidRPr="00CE7212">
        <w:rPr>
          <w:szCs w:val="24"/>
        </w:rPr>
        <w:t xml:space="preserve"> Determination. </w:t>
      </w:r>
    </w:p>
    <w:p w14:paraId="76D9CD94" w14:textId="634EA04A" w:rsidR="00D21F29" w:rsidRPr="00597743" w:rsidRDefault="00D21F29" w:rsidP="00D21F29">
      <w:pPr>
        <w:rPr>
          <w:kern w:val="24"/>
        </w:rPr>
      </w:pPr>
      <w:r w:rsidRPr="00CE7212">
        <w:t>The RDA Matrix is further explained in a</w:t>
      </w:r>
      <w:r w:rsidRPr="00597743">
        <w:t xml:space="preserve"> document, entitled “</w:t>
      </w:r>
      <w:hyperlink r:id="rId17" w:history="1">
        <w:r w:rsidRPr="00CE7212">
          <w:rPr>
            <w:rStyle w:val="Hyperlink"/>
            <w:color w:val="auto"/>
          </w:rPr>
          <w:t>How the Department Made Determinations under Sections 616(d) and 642 of the Individuals with Disabilities Education Act in 2024: Part C</w:t>
        </w:r>
      </w:hyperlink>
      <w:r w:rsidRPr="00597743">
        <w:t>” (HTDMD</w:t>
      </w:r>
      <w:r w:rsidR="003E1ADD">
        <w:t>-C</w:t>
      </w:r>
      <w:r w:rsidRPr="00597743">
        <w:t>).</w:t>
      </w:r>
    </w:p>
    <w:p w14:paraId="1CB09BE2" w14:textId="45A9D667" w:rsidR="00D21F29" w:rsidRPr="00597743" w:rsidRDefault="00D21F29" w:rsidP="00D21F29">
      <w:r w:rsidRPr="00597743">
        <w:t>The Office of Special Education Programs (OSEP) is continuing to use both results data and compliance data in making the Department’s determinations in 2024, as it did for Part C determinations in 2015-2023. (The specifics of the determination procedures and criteria are set forth in the HTDMD</w:t>
      </w:r>
      <w:r w:rsidR="003E1ADD">
        <w:t>-C</w:t>
      </w:r>
      <w:r w:rsidRPr="00597743">
        <w:t xml:space="preserve"> document and reflected in the RDA Matrix for Nevada.) For 2024, the Department’s IDEA Part C determinations continue to include consideration of each State’s Child Outcomes data, which measure how children who receive Part C services are improving functioning in three outcome areas that are critical to school readiness: </w:t>
      </w:r>
    </w:p>
    <w:p w14:paraId="3E58DCFB" w14:textId="77777777" w:rsidR="00D21F29" w:rsidRPr="00CE7212" w:rsidRDefault="00D21F29" w:rsidP="00D21F29">
      <w:pPr>
        <w:numPr>
          <w:ilvl w:val="0"/>
          <w:numId w:val="22"/>
        </w:numPr>
        <w:spacing w:before="120" w:after="0"/>
        <w:rPr>
          <w:szCs w:val="24"/>
        </w:rPr>
      </w:pPr>
      <w:r w:rsidRPr="00CE7212">
        <w:rPr>
          <w:szCs w:val="24"/>
        </w:rPr>
        <w:t xml:space="preserve">positive social-emotional </w:t>
      </w:r>
      <w:proofErr w:type="gramStart"/>
      <w:r w:rsidRPr="00CE7212">
        <w:rPr>
          <w:szCs w:val="24"/>
        </w:rPr>
        <w:t>skills;</w:t>
      </w:r>
      <w:proofErr w:type="gramEnd"/>
      <w:r w:rsidRPr="00CE7212">
        <w:rPr>
          <w:szCs w:val="24"/>
        </w:rPr>
        <w:t xml:space="preserve"> </w:t>
      </w:r>
    </w:p>
    <w:p w14:paraId="722265A4" w14:textId="77777777" w:rsidR="00D21F29" w:rsidRPr="00CE7212" w:rsidRDefault="00D21F29" w:rsidP="00D21F29">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2CA24A54" w14:textId="77777777" w:rsidR="00D21F29" w:rsidRPr="00597743" w:rsidRDefault="00D21F29" w:rsidP="00D21F29">
      <w:pPr>
        <w:numPr>
          <w:ilvl w:val="0"/>
          <w:numId w:val="22"/>
        </w:numPr>
        <w:spacing w:before="120" w:after="0"/>
        <w:rPr>
          <w:szCs w:val="24"/>
        </w:rPr>
      </w:pPr>
      <w:r w:rsidRPr="00CE7212">
        <w:rPr>
          <w:szCs w:val="24"/>
        </w:rPr>
        <w:t>use of appropriate behaviors to meet their needs</w:t>
      </w:r>
      <w:r w:rsidRPr="00597743">
        <w:rPr>
          <w:szCs w:val="24"/>
        </w:rPr>
        <w:t xml:space="preserve">. </w:t>
      </w:r>
    </w:p>
    <w:p w14:paraId="690A34D5" w14:textId="77777777" w:rsidR="00D21F29" w:rsidRPr="00597743" w:rsidRDefault="00D21F29" w:rsidP="00D21F29">
      <w:pPr>
        <w:rPr>
          <w:kern w:val="24"/>
        </w:rPr>
      </w:pPr>
      <w:r w:rsidRPr="00597743">
        <w:t xml:space="preserve">Specifically, the Department considered the data </w:t>
      </w:r>
      <w:proofErr w:type="gramStart"/>
      <w:r w:rsidRPr="00597743">
        <w:t>quality</w:t>
      </w:r>
      <w:proofErr w:type="gramEnd"/>
      <w:r w:rsidRPr="00597743">
        <w:t xml:space="preserve"> and the child performance levels in each State’s Child Outcomes FFY 202</w:t>
      </w:r>
      <w:r>
        <w:t>2</w:t>
      </w:r>
      <w:r w:rsidRPr="00597743">
        <w:rPr>
          <w:szCs w:val="24"/>
        </w:rPr>
        <w:t xml:space="preserve"> </w:t>
      </w:r>
      <w:r w:rsidRPr="00597743">
        <w:t>data</w:t>
      </w:r>
      <w:r w:rsidRPr="00CE7212">
        <w:t xml:space="preserve">. </w:t>
      </w:r>
    </w:p>
    <w:p w14:paraId="5638B0C1" w14:textId="77777777" w:rsidR="00D21F29" w:rsidRPr="00597743" w:rsidRDefault="00D21F29" w:rsidP="00D21F29">
      <w:pPr>
        <w:keepNext/>
        <w:rPr>
          <w:szCs w:val="24"/>
        </w:rPr>
      </w:pPr>
      <w:r w:rsidRPr="00597743">
        <w:rPr>
          <w:szCs w:val="24"/>
        </w:rPr>
        <w:t xml:space="preserve">You may access the results of OSEP’s review of </w:t>
      </w:r>
      <w:r w:rsidRPr="006264F6">
        <w:t>Nevada's</w:t>
      </w:r>
      <w:r w:rsidRPr="00597743">
        <w:t xml:space="preserve"> </w:t>
      </w:r>
      <w:r w:rsidRPr="00597743">
        <w:rPr>
          <w:szCs w:val="24"/>
        </w:rPr>
        <w:t xml:space="preserve">SPP/APR and other relevant data by accessing the EMAPS SPP/APR reporting tool using your State-specific log-on information at </w:t>
      </w:r>
      <w:hyperlink r:id="rId18" w:tooltip="EMAPS SPP/APR reporting tool" w:history="1">
        <w:r w:rsidRPr="00CE7212">
          <w:rPr>
            <w:rStyle w:val="Hyperlink"/>
            <w:color w:val="auto"/>
            <w:szCs w:val="24"/>
          </w:rPr>
          <w:t>https://emaps.ed.gov/suite/</w:t>
        </w:r>
      </w:hyperlink>
      <w:r w:rsidRPr="00597743">
        <w:rPr>
          <w:szCs w:val="24"/>
        </w:rPr>
        <w:t xml:space="preserve">. When you access </w:t>
      </w:r>
      <w:r w:rsidRPr="006264F6">
        <w:t>Nevada's</w:t>
      </w:r>
      <w:r w:rsidRPr="00597743">
        <w:rPr>
          <w:szCs w:val="24"/>
        </w:rPr>
        <w:t xml:space="preserve"> SPP/APR on the site, you will find, in Indicators 1 through 11, the OSEP Response to the indicator and any actions that </w:t>
      </w:r>
      <w:r w:rsidRPr="00597743">
        <w:t>Nevada</w:t>
      </w:r>
      <w:r w:rsidRPr="00597743">
        <w:rPr>
          <w:szCs w:val="24"/>
        </w:rPr>
        <w:t xml:space="preserve"> is required to take. The actions that </w:t>
      </w:r>
      <w:r w:rsidRPr="00597743">
        <w:t>Nevada</w:t>
      </w:r>
      <w:r w:rsidRPr="00597743">
        <w:rPr>
          <w:szCs w:val="24"/>
        </w:rPr>
        <w:t xml:space="preserve"> is required to take are in the “Required Actions” section of the indicator.</w:t>
      </w:r>
    </w:p>
    <w:p w14:paraId="57E1CDDA" w14:textId="2CFFBC6D" w:rsidR="00D21F29" w:rsidRPr="00597743" w:rsidRDefault="00D21F29" w:rsidP="00D21F29">
      <w:pPr>
        <w:rPr>
          <w:szCs w:val="24"/>
        </w:rPr>
      </w:pPr>
      <w:r w:rsidRPr="00597743">
        <w:rPr>
          <w:szCs w:val="24"/>
        </w:rPr>
        <w:t>It is important for you</w:t>
      </w:r>
      <w:r w:rsidR="003E1ADD">
        <w:rPr>
          <w:szCs w:val="24"/>
        </w:rPr>
        <w:t>r State</w:t>
      </w:r>
      <w:r w:rsidRPr="00597743">
        <w:rPr>
          <w:szCs w:val="24"/>
        </w:rPr>
        <w:t xml:space="preserve"> to review the Introduction to the SPP/APR, which may also include language in the “OSEP Response” and/or “Required Actions” sections. </w:t>
      </w:r>
    </w:p>
    <w:p w14:paraId="0CA31A10" w14:textId="762AAB06" w:rsidR="00D21F29" w:rsidRPr="00597743" w:rsidRDefault="00D21F29" w:rsidP="00D21F29">
      <w:pPr>
        <w:keepNext/>
        <w:rPr>
          <w:szCs w:val="24"/>
        </w:rPr>
      </w:pPr>
      <w:r w:rsidRPr="00597743">
        <w:rPr>
          <w:szCs w:val="24"/>
        </w:rPr>
        <w:t>You</w:t>
      </w:r>
      <w:r w:rsidR="003E1ADD">
        <w:rPr>
          <w:szCs w:val="24"/>
        </w:rPr>
        <w:t>r State</w:t>
      </w:r>
      <w:r w:rsidRPr="00597743">
        <w:rPr>
          <w:szCs w:val="24"/>
        </w:rPr>
        <w:t xml:space="preserve"> will also find the following important documents </w:t>
      </w:r>
      <w:r w:rsidR="002A743C">
        <w:rPr>
          <w:szCs w:val="24"/>
        </w:rPr>
        <w:t>in the Determinations Enclosures section</w:t>
      </w:r>
      <w:r w:rsidRPr="00597743">
        <w:rPr>
          <w:szCs w:val="24"/>
        </w:rPr>
        <w:t xml:space="preserve">: </w:t>
      </w:r>
    </w:p>
    <w:p w14:paraId="682B8092" w14:textId="77777777" w:rsidR="00D21F29" w:rsidRPr="00597743" w:rsidRDefault="00D21F29" w:rsidP="00D21F29">
      <w:pPr>
        <w:keepNext/>
        <w:numPr>
          <w:ilvl w:val="0"/>
          <w:numId w:val="23"/>
        </w:numPr>
        <w:spacing w:before="120" w:after="0"/>
        <w:rPr>
          <w:szCs w:val="24"/>
        </w:rPr>
      </w:pPr>
      <w:r w:rsidRPr="006264F6">
        <w:t>Nevada's</w:t>
      </w:r>
      <w:r>
        <w:t xml:space="preserve"> </w:t>
      </w:r>
      <w:r w:rsidRPr="00597743">
        <w:rPr>
          <w:szCs w:val="24"/>
        </w:rPr>
        <w:t xml:space="preserve">RDA </w:t>
      </w:r>
      <w:proofErr w:type="gramStart"/>
      <w:r w:rsidRPr="00597743">
        <w:rPr>
          <w:szCs w:val="24"/>
        </w:rPr>
        <w:t>Matrix;</w:t>
      </w:r>
      <w:proofErr w:type="gramEnd"/>
      <w:r w:rsidRPr="00597743">
        <w:rPr>
          <w:szCs w:val="24"/>
        </w:rPr>
        <w:t xml:space="preserve"> </w:t>
      </w:r>
    </w:p>
    <w:p w14:paraId="67F05A0C" w14:textId="5DF007C7" w:rsidR="00D21F29" w:rsidRPr="00597743" w:rsidRDefault="00D21F29" w:rsidP="00D21F29">
      <w:pPr>
        <w:numPr>
          <w:ilvl w:val="0"/>
          <w:numId w:val="23"/>
        </w:numPr>
        <w:spacing w:before="120" w:after="0"/>
        <w:rPr>
          <w:szCs w:val="24"/>
        </w:rPr>
      </w:pPr>
      <w:r w:rsidRPr="00597743">
        <w:rPr>
          <w:szCs w:val="24"/>
        </w:rPr>
        <w:t xml:space="preserve">the HTDMD </w:t>
      </w:r>
      <w:hyperlink r:id="rId19" w:history="1">
        <w:r w:rsidR="002A743C" w:rsidRPr="00CC748C">
          <w:rPr>
            <w:rStyle w:val="Hyperlink"/>
            <w:szCs w:val="24"/>
          </w:rPr>
          <w:t>link</w:t>
        </w:r>
      </w:hyperlink>
      <w:r w:rsidRPr="00597743">
        <w:rPr>
          <w:szCs w:val="24"/>
        </w:rPr>
        <w:t xml:space="preserve">; </w:t>
      </w:r>
    </w:p>
    <w:p w14:paraId="0ABB659D" w14:textId="5C674E35" w:rsidR="00D21F29" w:rsidRPr="00597743" w:rsidRDefault="00D21F29" w:rsidP="00D21F29">
      <w:pPr>
        <w:numPr>
          <w:ilvl w:val="0"/>
          <w:numId w:val="23"/>
        </w:numPr>
        <w:spacing w:before="120" w:after="0"/>
        <w:rPr>
          <w:kern w:val="24"/>
        </w:rPr>
      </w:pPr>
      <w:r w:rsidRPr="00597743">
        <w:t>“2024</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5235F70D" w14:textId="02303D32" w:rsidR="00D21F29" w:rsidRPr="00597743" w:rsidRDefault="00D21F29" w:rsidP="00D21F29">
      <w:pPr>
        <w:numPr>
          <w:ilvl w:val="0"/>
          <w:numId w:val="23"/>
        </w:numPr>
        <w:spacing w:before="120" w:after="0"/>
        <w:rPr>
          <w:szCs w:val="24"/>
        </w:rPr>
      </w:pPr>
      <w:r w:rsidRPr="00597743">
        <w:rPr>
          <w:szCs w:val="24"/>
        </w:rPr>
        <w:t xml:space="preserve">“Dispute Resolution 2022-2023,” which includes the IDEA Section 618 data that OSEP used to calculate the State’s “Timely State Complaint Decisions” and “Timely Due Process Hearing Decisions” scores in the Compliance Matrix. </w:t>
      </w:r>
    </w:p>
    <w:p w14:paraId="640FDAC3" w14:textId="77777777" w:rsidR="00D21F29" w:rsidRPr="00597743" w:rsidRDefault="00D21F29" w:rsidP="00D21F29">
      <w:pPr>
        <w:rPr>
          <w:kern w:val="24"/>
        </w:rPr>
      </w:pPr>
      <w:r w:rsidRPr="00CE7212">
        <w:rPr>
          <w:rFonts w:eastAsia="Calibri"/>
        </w:rPr>
        <w:t>As noted above,</w:t>
      </w:r>
      <w:r w:rsidRPr="00597743">
        <w:t xml:space="preserve"> </w:t>
      </w:r>
      <w:r w:rsidRPr="006264F6">
        <w:t>Nevada's</w:t>
      </w:r>
      <w:r w:rsidRPr="00CE7212">
        <w:rPr>
          <w:rFonts w:eastAsia="Calibri"/>
        </w:rPr>
        <w:t xml:space="preserve"> 2024 determination is Needs Assistance. A State’s 2024 RDA Determination is Needs Assistance if the RDA Percentage is at least 60% but less than 80%. A State would also be Needs Assistance if its RDA Determination percentage is 80% or above, but the Department </w:t>
      </w:r>
      <w:r w:rsidRPr="00597743">
        <w:rPr>
          <w:rFonts w:eastAsia="Calibri"/>
        </w:rPr>
        <w:t>has imposed Specific Conditions on the State’s last three IDEA Part C grant awards (for FFYs 2021, 2022, and 2023), and those Specific Conditions are in effect at the time of the 2024 determination.</w:t>
      </w:r>
    </w:p>
    <w:p w14:paraId="4E7DE995" w14:textId="0FA856E6" w:rsidR="00D21F29" w:rsidRPr="00597743" w:rsidRDefault="00D21F29" w:rsidP="00D21F29">
      <w:pPr>
        <w:rPr>
          <w:rFonts w:eastAsia="Calibri"/>
        </w:rPr>
      </w:pPr>
      <w:r>
        <w:lastRenderedPageBreak/>
        <w:t>Nevada's</w:t>
      </w:r>
      <w:r w:rsidRPr="00597743">
        <w:rPr>
          <w:rFonts w:eastAsia="Calibri"/>
        </w:rPr>
        <w:t xml:space="preserve"> determination for 2023 was also Needs Assistance. In accordance with Section 616(e)(1) of the IDEA and 34 C.F.R. §303.704(a), if a State is determined to need assistance for two consecutive years, the Secretary must take one or more of the following actions: </w:t>
      </w:r>
    </w:p>
    <w:p w14:paraId="4F76DD02"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advise the State of available sources of technical assistance that may help the State address the areas in which the State needs assistance and require the State to work with appropriate entities; and/or</w:t>
      </w:r>
    </w:p>
    <w:p w14:paraId="1E097470"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identify the State as a high-risk grantee and impose Specific Conditions on the State’s IDEA Part C grant award.</w:t>
      </w:r>
    </w:p>
    <w:p w14:paraId="6BC4B6F0" w14:textId="77777777" w:rsidR="00D21F29" w:rsidRPr="00597743" w:rsidRDefault="00D21F29" w:rsidP="00D21F29">
      <w:pPr>
        <w:rPr>
          <w:rFonts w:eastAsia="Calibri"/>
        </w:rPr>
      </w:pPr>
      <w:r w:rsidRPr="00597743">
        <w:rPr>
          <w:rFonts w:eastAsia="Calibri"/>
        </w:rPr>
        <w:t xml:space="preserve">Pursuant to these requirements, the Secretary is advising </w:t>
      </w:r>
      <w:r w:rsidRPr="00597743">
        <w:t>Nevada</w:t>
      </w:r>
      <w:r w:rsidRPr="00597743">
        <w:rPr>
          <w:rFonts w:eastAsia="Calibri"/>
        </w:rPr>
        <w:t xml:space="preserve"> of available sources of technical assistance, including OSEP-funded technical assistance centers and resources at the following websites: </w:t>
      </w:r>
      <w:hyperlink r:id="rId20" w:history="1">
        <w:r w:rsidRPr="00CE7212">
          <w:rPr>
            <w:rStyle w:val="Hyperlink"/>
            <w:color w:val="auto"/>
          </w:rPr>
          <w:t>Monitoring and State Improvement Planning (MSIP) | OSEP Ideas That Work</w:t>
        </w:r>
      </w:hyperlink>
      <w:r w:rsidRPr="00597743">
        <w:t xml:space="preserve">, </w:t>
      </w:r>
      <w:hyperlink r:id="rId21" w:history="1">
        <w:r w:rsidRPr="00CE7212">
          <w:rPr>
            <w:rStyle w:val="Hyperlink"/>
            <w:color w:val="auto"/>
          </w:rPr>
          <w:t>Individuals with Disabilities Education Act (IDEA) Topic Areas</w:t>
        </w:r>
      </w:hyperlink>
      <w:r w:rsidRPr="00CE7212">
        <w:rPr>
          <w:rFonts w:eastAsia="Calibri"/>
        </w:rPr>
        <w:t>,</w:t>
      </w:r>
      <w:r w:rsidRPr="00597743">
        <w:rPr>
          <w:rFonts w:eastAsia="Calibri"/>
        </w:rPr>
        <w:t xml:space="preserve"> and requiring </w:t>
      </w:r>
      <w:r w:rsidRPr="00597743">
        <w:t>Nevada</w:t>
      </w:r>
      <w:r w:rsidRPr="00597743">
        <w:rPr>
          <w:rFonts w:eastAsia="Calibri"/>
        </w:rPr>
        <w:t xml:space="preserve"> to work with appropriate entities. In addition, </w:t>
      </w:r>
      <w:r w:rsidRPr="00597743">
        <w:t>Nevada</w:t>
      </w:r>
      <w:r w:rsidRPr="00597743">
        <w:rPr>
          <w:rFonts w:eastAsia="Calibri"/>
        </w:rPr>
        <w:t xml:space="preserve"> should consider accessing technical assistance from other Department-funded centers such as the Comprehensive Centers with resources at the following link: </w:t>
      </w:r>
      <w:hyperlink r:id="rId22" w:tooltip="Comprehensive Centers " w:history="1">
        <w:r w:rsidRPr="00CE7212">
          <w:rPr>
            <w:rStyle w:val="Hyperlink"/>
            <w:rFonts w:eastAsia="Calibri"/>
            <w:color w:val="auto"/>
          </w:rPr>
          <w:t>https://compcenternetwork.org/states</w:t>
        </w:r>
      </w:hyperlink>
      <w:r w:rsidRPr="00597743">
        <w:rPr>
          <w:rFonts w:eastAsia="Calibri"/>
        </w:rPr>
        <w:t xml:space="preserve">. The Secretary directs </w:t>
      </w:r>
      <w:r w:rsidRPr="00597743">
        <w:t>Nevada</w:t>
      </w:r>
      <w:r w:rsidRPr="00597743">
        <w:rPr>
          <w:rFonts w:eastAsia="Calibri"/>
        </w:rPr>
        <w:t xml:space="preserve"> to determine the results elements and/or compliance indicators, and improvement strategies, on which it will focus its use of available technical assistance, </w:t>
      </w:r>
      <w:proofErr w:type="gramStart"/>
      <w:r w:rsidRPr="00597743">
        <w:rPr>
          <w:rFonts w:eastAsia="Calibri"/>
        </w:rPr>
        <w:t>in order to</w:t>
      </w:r>
      <w:proofErr w:type="gramEnd"/>
      <w:r w:rsidRPr="00597743">
        <w:rPr>
          <w:rFonts w:eastAsia="Calibri"/>
        </w:rPr>
        <w:t xml:space="preserve"> improve its performance. We strongly encourage </w:t>
      </w:r>
      <w:r w:rsidRPr="00597743">
        <w:t>Nevada</w:t>
      </w:r>
      <w:r w:rsidRPr="00597743">
        <w:rPr>
          <w:rFonts w:eastAsia="Calibri"/>
        </w:rPr>
        <w:t xml:space="preserve"> to access technical assistance related to those results elements and compliance indicators for which </w:t>
      </w:r>
      <w:r w:rsidRPr="00597743">
        <w:t>Nevada</w:t>
      </w:r>
      <w:r w:rsidRPr="00597743">
        <w:rPr>
          <w:rFonts w:eastAsia="Calibri"/>
        </w:rPr>
        <w:t xml:space="preserve"> received a score of zero. </w:t>
      </w:r>
      <w:r w:rsidRPr="00597743">
        <w:t>Nevada</w:t>
      </w:r>
      <w:r w:rsidRPr="00597743">
        <w:rPr>
          <w:rFonts w:eastAsia="Calibri"/>
        </w:rPr>
        <w:t xml:space="preserve"> must report with its FFY 2023 SPP/APR submission, due February 1, 2025, on: </w:t>
      </w:r>
    </w:p>
    <w:p w14:paraId="74AB159D" w14:textId="77777777"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technical assistance sources from which </w:t>
      </w:r>
      <w:r w:rsidRPr="00597743">
        <w:t>Nevada</w:t>
      </w:r>
      <w:r w:rsidRPr="00597743">
        <w:rPr>
          <w:rFonts w:eastAsia="Calibri"/>
          <w:szCs w:val="24"/>
        </w:rPr>
        <w:t xml:space="preserve"> received assistance; and </w:t>
      </w:r>
    </w:p>
    <w:p w14:paraId="62690EC3" w14:textId="77777777"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actions </w:t>
      </w:r>
      <w:r w:rsidRPr="00597743">
        <w:t>Nevada</w:t>
      </w:r>
      <w:r w:rsidRPr="00597743">
        <w:rPr>
          <w:rFonts w:eastAsia="Calibri"/>
          <w:szCs w:val="24"/>
        </w:rPr>
        <w:t xml:space="preserve"> took </w:t>
      </w:r>
      <w:proofErr w:type="gramStart"/>
      <w:r w:rsidRPr="00597743">
        <w:rPr>
          <w:rFonts w:eastAsia="Calibri"/>
          <w:szCs w:val="24"/>
        </w:rPr>
        <w:t>as a result of</w:t>
      </w:r>
      <w:proofErr w:type="gramEnd"/>
      <w:r w:rsidRPr="00597743">
        <w:rPr>
          <w:rFonts w:eastAsia="Calibri"/>
          <w:szCs w:val="24"/>
        </w:rPr>
        <w:t xml:space="preserve"> that technical assistance.</w:t>
      </w:r>
    </w:p>
    <w:p w14:paraId="736829E0" w14:textId="481A5DB8" w:rsidR="00D21F29" w:rsidRPr="00597743" w:rsidRDefault="00D21F29" w:rsidP="00D21F29">
      <w:pPr>
        <w:rPr>
          <w:rFonts w:eastAsia="Calibri"/>
          <w:szCs w:val="24"/>
        </w:rPr>
      </w:pPr>
      <w:r w:rsidRPr="00597743">
        <w:rPr>
          <w:rFonts w:eastAsia="Calibri"/>
          <w:szCs w:val="24"/>
        </w:rPr>
        <w:t>As required by IDEA</w:t>
      </w:r>
      <w:r w:rsidRPr="00597743">
        <w:rPr>
          <w:rFonts w:eastAsia="Calibri"/>
          <w:i/>
          <w:szCs w:val="24"/>
        </w:rPr>
        <w:t xml:space="preserve"> </w:t>
      </w:r>
      <w:r w:rsidRPr="00597743">
        <w:rPr>
          <w:rFonts w:eastAsia="Calibri"/>
          <w:szCs w:val="24"/>
        </w:rPr>
        <w:t>Section</w:t>
      </w:r>
      <w:r w:rsidR="00AF2D63">
        <w:rPr>
          <w:rFonts w:eastAsia="Calibri"/>
          <w:szCs w:val="24"/>
        </w:rPr>
        <w:t>s</w:t>
      </w:r>
      <w:r w:rsidRPr="00597743">
        <w:rPr>
          <w:rFonts w:eastAsia="Calibri"/>
          <w:szCs w:val="24"/>
        </w:rPr>
        <w:t xml:space="preserve"> 616(e)(7) </w:t>
      </w:r>
      <w:r w:rsidR="00AF2D63">
        <w:rPr>
          <w:rFonts w:eastAsia="Calibri"/>
          <w:szCs w:val="24"/>
        </w:rPr>
        <w:t xml:space="preserve">and 642 </w:t>
      </w:r>
      <w:r w:rsidRPr="00597743">
        <w:rPr>
          <w:rFonts w:eastAsia="Calibri"/>
          <w:szCs w:val="24"/>
        </w:rPr>
        <w:t xml:space="preserve">and 34 C.F.R. §303.706, </w:t>
      </w:r>
      <w:r w:rsidRPr="00597743">
        <w:t>Nevada</w:t>
      </w:r>
      <w:r w:rsidRPr="00597743">
        <w:rPr>
          <w:rFonts w:eastAsia="Calibri"/>
          <w:szCs w:val="24"/>
        </w:rPr>
        <w:t xml:space="preserve"> must notify the public that the Secretary of Education has taken the above enforcement action, including, at a minimum, by posting a public notice on its website and distributing the notice to the media and to early intervention service (EIS) programs.</w:t>
      </w:r>
    </w:p>
    <w:p w14:paraId="3509C7F7" w14:textId="77777777" w:rsidR="00890FCA" w:rsidRDefault="00890FCA" w:rsidP="00890FCA">
      <w:r w:rsidRPr="00597743">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14:paraId="53490FB1" w14:textId="77777777" w:rsidR="00890FCA" w:rsidRDefault="00890FCA" w:rsidP="00890FCA">
      <w:r w:rsidRPr="00597743">
        <w:t xml:space="preserve">For 2025 and beyond, the Department is considering two additional criteria related to IDEA Part C determinations. First, the Department is considering as a factor OSEP-identified longstanding noncompliance (i.e., unresolved findings issued by OSEP at least three years ago). This factor would be reflected in the determination for each State through the “longstanding noncompliance” section of the Compliance Matrix beginning with the 2025 determinations. In implementing this factor, the Department is also considering beginning in 2025 whether a State that would otherwise receive a score of meets requirements would not be able to receive a determination of meets requirements if the State had OSEP-identified longstanding noncompliance (i.e., unresolved findings issued by OSEP at least three or more years ago). Second, the Department is reviewing whether and how to consider IDEA Part C results data reported under three indicators </w:t>
      </w:r>
      <w:proofErr w:type="gramStart"/>
      <w:r w:rsidRPr="00597743">
        <w:t>in order to</w:t>
      </w:r>
      <w:proofErr w:type="gramEnd"/>
      <w:r w:rsidRPr="00597743">
        <w:t xml:space="preserve"> improve results for all infants, toddlers, and children with disabilities. This review would include considering alternative scoring options for child outcome Indicator C-3 and considering as potential additional factors the information and data that States report under child find Indicators C-5 and C-6.</w:t>
      </w:r>
    </w:p>
    <w:p w14:paraId="34EBE5A6" w14:textId="77777777" w:rsidR="00890FCA" w:rsidRDefault="00890FCA" w:rsidP="00890FCA">
      <w:r w:rsidRPr="00597743">
        <w:t xml:space="preserve">For the FFY 2023 SPP/APR submission due on February 1, 2025, OSEP is providing the following information about the IDEA Section 618 data.  The 2023-24 IDEA Section 618 Part C data submitted as of the due date will be used for the FFY 2023 SPP/APR and the 2025 IDEA Part C Results Matrix and States will not be able to resubmit their IDEA Section 618 data after the due date. The 2023-24 IDEA Section 618 Part C data that States submit will automatically be prepopulated in the SPP/APR reporting platform for Part C SPP/APR Indicators 2, 5, 6, 9, and 10 (as they have in the past). Under EDFacts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There will not be a resubmission period for the IDEA Section 618 Part C data. </w:t>
      </w:r>
    </w:p>
    <w:p w14:paraId="0109DD64" w14:textId="77777777" w:rsidR="00D21F29" w:rsidRPr="00597743" w:rsidRDefault="00D21F29" w:rsidP="00D21F29">
      <w:r w:rsidRPr="00597743">
        <w:t xml:space="preserve">As a reminder, Nevada must report annually to the public, by posting on the State lead agency’s website, on the performance of each early intervention service (EIS) program located in Nevada on the targets in the SPP/APR as soon as practicable, but no later than 120 days after </w:t>
      </w:r>
      <w:r w:rsidRPr="0061436B">
        <w:t>Nevada's</w:t>
      </w:r>
      <w:r w:rsidRPr="00597743">
        <w:t xml:space="preserve"> submission of its FFY 202</w:t>
      </w:r>
      <w:r>
        <w:t>2</w:t>
      </w:r>
      <w:r w:rsidRPr="00597743">
        <w:rPr>
          <w:szCs w:val="24"/>
        </w:rPr>
        <w:t xml:space="preserve"> </w:t>
      </w:r>
      <w:r w:rsidRPr="00597743">
        <w:t>SPP/APR.</w:t>
      </w:r>
      <w:r w:rsidRPr="00597743">
        <w:rPr>
          <w:szCs w:val="24"/>
        </w:rPr>
        <w:t xml:space="preserve"> </w:t>
      </w:r>
      <w:r w:rsidRPr="00597743">
        <w:t>In addition, Nevada</w:t>
      </w:r>
      <w:r w:rsidRPr="00597743">
        <w:rPr>
          <w:szCs w:val="24"/>
        </w:rPr>
        <w:t xml:space="preserve"> must:</w:t>
      </w:r>
    </w:p>
    <w:p w14:paraId="727EF73A" w14:textId="77777777" w:rsidR="00D21F29" w:rsidRPr="00597743" w:rsidRDefault="00D21F29" w:rsidP="00D21F29">
      <w:pPr>
        <w:numPr>
          <w:ilvl w:val="0"/>
          <w:numId w:val="26"/>
        </w:numPr>
        <w:spacing w:before="120" w:after="0"/>
        <w:rPr>
          <w:szCs w:val="24"/>
        </w:rPr>
      </w:pPr>
      <w:r w:rsidRPr="00597743">
        <w:rPr>
          <w:szCs w:val="24"/>
        </w:rPr>
        <w:t xml:space="preserve">review EIS program performance against targets in </w:t>
      </w:r>
      <w:r w:rsidRPr="0061436B">
        <w:t>Nevada's</w:t>
      </w:r>
      <w:r>
        <w:t xml:space="preserve"> </w:t>
      </w:r>
      <w:r w:rsidRPr="00597743">
        <w:rPr>
          <w:szCs w:val="24"/>
        </w:rPr>
        <w:t>SPP/</w:t>
      </w:r>
      <w:proofErr w:type="gramStart"/>
      <w:r w:rsidRPr="00597743">
        <w:rPr>
          <w:szCs w:val="24"/>
        </w:rPr>
        <w:t>APR;</w:t>
      </w:r>
      <w:proofErr w:type="gramEnd"/>
      <w:r w:rsidRPr="00597743">
        <w:rPr>
          <w:szCs w:val="24"/>
        </w:rPr>
        <w:t xml:space="preserve"> </w:t>
      </w:r>
    </w:p>
    <w:p w14:paraId="0BDF6B3A" w14:textId="77777777" w:rsidR="00D21F29" w:rsidRPr="00597743" w:rsidRDefault="00D21F29" w:rsidP="00D21F29">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w:t>
      </w:r>
      <w:proofErr w:type="gramStart"/>
      <w:r w:rsidRPr="00597743">
        <w:rPr>
          <w:szCs w:val="24"/>
        </w:rPr>
        <w:t>IDEA;</w:t>
      </w:r>
      <w:proofErr w:type="gramEnd"/>
      <w:r w:rsidRPr="00597743">
        <w:rPr>
          <w:szCs w:val="24"/>
        </w:rPr>
        <w:t xml:space="preserve"> </w:t>
      </w:r>
    </w:p>
    <w:p w14:paraId="15215887" w14:textId="77777777" w:rsidR="00D21F29" w:rsidRPr="00597743" w:rsidRDefault="00D21F29" w:rsidP="00D21F29">
      <w:pPr>
        <w:numPr>
          <w:ilvl w:val="0"/>
          <w:numId w:val="26"/>
        </w:numPr>
        <w:spacing w:before="120" w:after="0"/>
        <w:rPr>
          <w:szCs w:val="24"/>
        </w:rPr>
      </w:pPr>
      <w:r w:rsidRPr="00597743">
        <w:rPr>
          <w:szCs w:val="24"/>
        </w:rPr>
        <w:t xml:space="preserve">take appropriate enforcement action; and </w:t>
      </w:r>
    </w:p>
    <w:p w14:paraId="3B4DFF52" w14:textId="77777777" w:rsidR="00D21F29" w:rsidRPr="00597743" w:rsidRDefault="00D21F29" w:rsidP="00D21F29">
      <w:pPr>
        <w:numPr>
          <w:ilvl w:val="0"/>
          <w:numId w:val="26"/>
        </w:numPr>
        <w:spacing w:before="120" w:after="0"/>
        <w:rPr>
          <w:szCs w:val="24"/>
        </w:rPr>
      </w:pPr>
      <w:r w:rsidRPr="00597743">
        <w:rPr>
          <w:szCs w:val="24"/>
        </w:rPr>
        <w:t xml:space="preserve">inform each EIS program of its determination. </w:t>
      </w:r>
    </w:p>
    <w:p w14:paraId="3A48C32F" w14:textId="77777777" w:rsidR="00D21F29" w:rsidRPr="00597743" w:rsidRDefault="00D21F29" w:rsidP="00D21F29">
      <w:pPr>
        <w:keepNext/>
        <w:rPr>
          <w:szCs w:val="24"/>
        </w:rPr>
      </w:pPr>
      <w:r w:rsidRPr="00597743">
        <w:rPr>
          <w:szCs w:val="24"/>
        </w:rPr>
        <w:t xml:space="preserve">Further, </w:t>
      </w:r>
      <w:r w:rsidRPr="00597743">
        <w:t>Nevada</w:t>
      </w:r>
      <w:r w:rsidRPr="00597743">
        <w:rPr>
          <w:szCs w:val="24"/>
        </w:rPr>
        <w:t xml:space="preserve"> must make its SPP/APR available to the public by posting it on the State lead agency’s website. Within the upcoming weeks, OSEP will be finalizing a State Profile that:</w:t>
      </w:r>
    </w:p>
    <w:p w14:paraId="1474A61D" w14:textId="77777777" w:rsidR="00D21F29" w:rsidRPr="00597743" w:rsidRDefault="00D21F29" w:rsidP="00D21F29">
      <w:pPr>
        <w:numPr>
          <w:ilvl w:val="0"/>
          <w:numId w:val="27"/>
        </w:numPr>
        <w:spacing w:before="120" w:after="0"/>
        <w:rPr>
          <w:kern w:val="24"/>
          <w:szCs w:val="24"/>
        </w:rPr>
      </w:pPr>
      <w:r w:rsidRPr="00597743">
        <w:rPr>
          <w:szCs w:val="24"/>
        </w:rPr>
        <w:t xml:space="preserve">includes </w:t>
      </w:r>
      <w:r w:rsidRPr="0061436B">
        <w:t>Nevada's</w:t>
      </w:r>
      <w:r w:rsidRPr="00597743">
        <w:rPr>
          <w:szCs w:val="24"/>
        </w:rPr>
        <w:t xml:space="preserve"> determination letter and SPP/APR, OSEP attachments, and all State attachments that are accessible in accordance with Section 508 of the Rehabilitation Act of 1973; and </w:t>
      </w:r>
    </w:p>
    <w:p w14:paraId="5A155750" w14:textId="77777777" w:rsidR="00D21F29" w:rsidRPr="00597743" w:rsidRDefault="00D21F29" w:rsidP="00D21F29">
      <w:pPr>
        <w:numPr>
          <w:ilvl w:val="0"/>
          <w:numId w:val="27"/>
        </w:numPr>
        <w:spacing w:before="120" w:after="0"/>
        <w:rPr>
          <w:szCs w:val="24"/>
        </w:rPr>
      </w:pPr>
      <w:r w:rsidRPr="00597743">
        <w:rPr>
          <w:szCs w:val="24"/>
        </w:rPr>
        <w:t>will be accessible to the public via the ed.gov website.</w:t>
      </w:r>
    </w:p>
    <w:p w14:paraId="7FC37B6A" w14:textId="77777777" w:rsidR="00D21F29" w:rsidRPr="00597743" w:rsidRDefault="00D21F29" w:rsidP="00D21F29">
      <w:pPr>
        <w:rPr>
          <w:szCs w:val="24"/>
        </w:rPr>
      </w:pPr>
      <w:r w:rsidRPr="00597743">
        <w:rPr>
          <w:szCs w:val="24"/>
        </w:rPr>
        <w:lastRenderedPageBreak/>
        <w:t xml:space="preserve">OSEP appreciates </w:t>
      </w:r>
      <w:r w:rsidRPr="0061436B">
        <w:t>Nevada's</w:t>
      </w:r>
      <w:r>
        <w:t xml:space="preserve"> </w:t>
      </w:r>
      <w:r w:rsidRPr="00597743">
        <w:rPr>
          <w:szCs w:val="24"/>
        </w:rPr>
        <w:t xml:space="preserve">efforts to improve results for infants and toddlers with disabilities and their families and looks forward to working with </w:t>
      </w:r>
      <w:r w:rsidRPr="00597743">
        <w:t>Nevada</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09628C2B" w14:textId="77777777" w:rsidR="00D21F29" w:rsidRPr="00597743" w:rsidRDefault="00D21F29" w:rsidP="00D21F29">
      <w:pPr>
        <w:keepNext/>
        <w:ind w:left="4680"/>
        <w:rPr>
          <w:szCs w:val="24"/>
        </w:rPr>
      </w:pPr>
      <w:r w:rsidRPr="00597743">
        <w:rPr>
          <w:szCs w:val="24"/>
        </w:rPr>
        <w:t>Sincerely,</w:t>
      </w:r>
    </w:p>
    <w:p w14:paraId="24A80E70" w14:textId="6FA44521" w:rsidR="00D21F29" w:rsidRPr="00597743" w:rsidRDefault="00D21F29" w:rsidP="00D21F29">
      <w:pPr>
        <w:keepNext/>
        <w:spacing w:before="480"/>
        <w:ind w:left="4680"/>
        <w:rPr>
          <w:szCs w:val="24"/>
        </w:rPr>
      </w:pPr>
      <w:r>
        <w:rPr>
          <w:noProof/>
        </w:rPr>
        <w:drawing>
          <wp:inline distT="0" distB="0" distL="0" distR="0" wp14:anchorId="1CCBDA80" wp14:editId="5A2CB1E3">
            <wp:extent cx="1922513" cy="344685"/>
            <wp:effectExtent l="0" t="0" r="1905" b="0"/>
            <wp:docPr id="748777230" name="Picture 748777230" descr="Signature of Valerie Williams, Director, Office of Special Education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77230" name="Picture 748777230" descr="Signature of Valerie Williams, Director, Office of Special Education Programs&#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0467" b="21119"/>
                    <a:stretch/>
                  </pic:blipFill>
                  <pic:spPr bwMode="auto">
                    <a:xfrm>
                      <a:off x="0" y="0"/>
                      <a:ext cx="1924050" cy="344960"/>
                    </a:xfrm>
                    <a:prstGeom prst="rect">
                      <a:avLst/>
                    </a:prstGeom>
                    <a:noFill/>
                    <a:ln>
                      <a:noFill/>
                    </a:ln>
                    <a:extLst>
                      <a:ext uri="{53640926-AAD7-44D8-BBD7-CCE9431645EC}">
                        <a14:shadowObscured xmlns:a14="http://schemas.microsoft.com/office/drawing/2010/main"/>
                      </a:ext>
                    </a:extLst>
                  </pic:spPr>
                </pic:pic>
              </a:graphicData>
            </a:graphic>
          </wp:inline>
        </w:drawing>
      </w:r>
    </w:p>
    <w:p w14:paraId="5E3E96BB" w14:textId="77777777" w:rsidR="00D21F29" w:rsidRPr="00597743" w:rsidRDefault="00D21F29" w:rsidP="00D21F29">
      <w:pPr>
        <w:keepNext/>
        <w:pBdr>
          <w:top w:val="single" w:sz="8" w:space="1" w:color="7F7F7F" w:themeColor="text1" w:themeTint="80"/>
        </w:pBdr>
        <w:spacing w:before="0"/>
        <w:ind w:left="4680"/>
        <w:rPr>
          <w:szCs w:val="24"/>
        </w:rPr>
      </w:pPr>
      <w:r w:rsidRPr="00597743">
        <w:rPr>
          <w:szCs w:val="24"/>
        </w:rPr>
        <w:t xml:space="preserve">Valerie </w:t>
      </w:r>
      <w:r>
        <w:rPr>
          <w:szCs w:val="24"/>
        </w:rPr>
        <w:t xml:space="preserve">C. </w:t>
      </w:r>
      <w:r w:rsidRPr="00597743">
        <w:rPr>
          <w:szCs w:val="24"/>
        </w:rPr>
        <w:t>Williams</w:t>
      </w:r>
    </w:p>
    <w:p w14:paraId="22297F0B" w14:textId="77777777" w:rsidR="00D21F29" w:rsidRPr="00597743" w:rsidRDefault="00D21F29" w:rsidP="00D21F29">
      <w:pPr>
        <w:keepNext/>
        <w:spacing w:before="0"/>
        <w:ind w:left="4680"/>
        <w:rPr>
          <w:szCs w:val="24"/>
        </w:rPr>
      </w:pPr>
      <w:r w:rsidRPr="00597743">
        <w:rPr>
          <w:szCs w:val="24"/>
        </w:rPr>
        <w:t>Director</w:t>
      </w:r>
    </w:p>
    <w:p w14:paraId="2CFB8D2F" w14:textId="77777777" w:rsidR="00D21F29" w:rsidRPr="00597743" w:rsidRDefault="00D21F29" w:rsidP="00D21F29">
      <w:pPr>
        <w:spacing w:before="0"/>
        <w:ind w:left="4680"/>
        <w:rPr>
          <w:szCs w:val="24"/>
        </w:rPr>
      </w:pPr>
      <w:r w:rsidRPr="00597743">
        <w:rPr>
          <w:szCs w:val="24"/>
        </w:rPr>
        <w:t>Office of Special Education Programs</w:t>
      </w:r>
    </w:p>
    <w:p w14:paraId="7BF703CD" w14:textId="209D89A1" w:rsidR="00D21F29" w:rsidRPr="00D21F29" w:rsidRDefault="00D21F29" w:rsidP="00D21F29">
      <w:pPr>
        <w:rPr>
          <w:szCs w:val="24"/>
        </w:rPr>
      </w:pPr>
      <w:r w:rsidRPr="00597743">
        <w:rPr>
          <w:szCs w:val="24"/>
        </w:rPr>
        <w:t>cc: State Part C Coordinator</w:t>
      </w:r>
    </w:p>
    <w:sectPr w:rsidR="00D21F29" w:rsidRPr="00D21F29" w:rsidSect="00BF3AB4">
      <w:headerReference w:type="default" r:id="rId24"/>
      <w:footerReference w:type="default" r:id="rId25"/>
      <w:pgSz w:w="12240" w:h="15840"/>
      <w:pgMar w:top="720" w:right="720" w:bottom="720" w:left="720" w:header="0" w:footer="445"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21EA6" w14:textId="77777777" w:rsidR="00F969F9" w:rsidRDefault="00F969F9" w:rsidP="000802F7">
      <w:pPr>
        <w:spacing w:before="0" w:after="0"/>
      </w:pPr>
      <w:r>
        <w:separator/>
      </w:r>
    </w:p>
  </w:endnote>
  <w:endnote w:type="continuationSeparator" w:id="0">
    <w:p w14:paraId="7CBBA7D4" w14:textId="77777777" w:rsidR="00F969F9" w:rsidRDefault="00F969F9" w:rsidP="000802F7">
      <w:pPr>
        <w:spacing w:before="0" w:after="0"/>
      </w:pPr>
      <w:r>
        <w:continuationSeparator/>
      </w:r>
    </w:p>
  </w:endnote>
  <w:endnote w:type="continuationNotice" w:id="1">
    <w:p w14:paraId="33C77431" w14:textId="77777777" w:rsidR="00F969F9" w:rsidRDefault="00F969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722622"/>
      <w:docPartObj>
        <w:docPartGallery w:val="Page Numbers (Bottom of Page)"/>
        <w:docPartUnique/>
      </w:docPartObj>
    </w:sdtPr>
    <w:sdtEndPr>
      <w:rPr>
        <w:noProof/>
      </w:rPr>
    </w:sdtEndPr>
    <w:sdtContent>
      <w:sdt>
        <w:sdtPr>
          <w:id w:val="-54480244"/>
          <w:docPartObj>
            <w:docPartGallery w:val="Page Numbers (Bottom of Page)"/>
            <w:docPartUnique/>
          </w:docPartObj>
        </w:sdtPr>
        <w:sdtEndPr>
          <w:rPr>
            <w:noProof/>
          </w:rPr>
        </w:sdtEndPr>
        <w:sdtContent>
          <w:p w14:paraId="5ACDECAF" w14:textId="77777777" w:rsidR="00D21F29" w:rsidRPr="00E52257" w:rsidRDefault="00D21F29"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28FDDCE7" w14:textId="77777777" w:rsidR="00D21F29" w:rsidRPr="00021B5A" w:rsidRDefault="00D21F29"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D1A3A39" w14:textId="78A16229" w:rsidR="00D21F29" w:rsidRPr="00D21F29" w:rsidRDefault="00D21F29"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7E57CA46" w14:textId="5EDE9C2C" w:rsidR="00D21F29" w:rsidRPr="00A20642" w:rsidRDefault="00D21F29"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F89B" w14:textId="77777777" w:rsidR="00F969F9" w:rsidRDefault="00F969F9" w:rsidP="000802F7">
      <w:pPr>
        <w:spacing w:before="0" w:after="0"/>
      </w:pPr>
      <w:r>
        <w:separator/>
      </w:r>
    </w:p>
  </w:footnote>
  <w:footnote w:type="continuationSeparator" w:id="0">
    <w:p w14:paraId="4B35AA02" w14:textId="77777777" w:rsidR="00F969F9" w:rsidRDefault="00F969F9" w:rsidP="000802F7">
      <w:pPr>
        <w:spacing w:before="0" w:after="0"/>
      </w:pPr>
      <w:r>
        <w:continuationSeparator/>
      </w:r>
    </w:p>
  </w:footnote>
  <w:footnote w:type="continuationNotice" w:id="1">
    <w:p w14:paraId="6517CA00" w14:textId="77777777" w:rsidR="00F969F9" w:rsidRDefault="00F969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D50E" w14:textId="614E748E" w:rsidR="00D21F29" w:rsidRDefault="00D21F29">
    <w:pPr>
      <w:pStyle w:val="Header"/>
    </w:pPr>
    <w:r>
      <w:rPr>
        <w:noProof/>
      </w:rPr>
      <w:drawing>
        <wp:anchor distT="0" distB="0" distL="114300" distR="114300" simplePos="0" relativeHeight="251659264" behindDoc="0" locked="0" layoutInCell="1" allowOverlap="1" wp14:anchorId="1C195CE5" wp14:editId="428E16E0">
          <wp:simplePos x="0" y="0"/>
          <wp:positionH relativeFrom="column">
            <wp:posOffset>31750</wp:posOffset>
          </wp:positionH>
          <wp:positionV relativeFrom="paragraph">
            <wp:posOffset>121285</wp:posOffset>
          </wp:positionV>
          <wp:extent cx="914400" cy="914400"/>
          <wp:effectExtent l="0" t="0" r="0" b="0"/>
          <wp:wrapSquare wrapText="bothSides"/>
          <wp:docPr id="674958863" name="Picture 674958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8863" name="Picture 67495886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2FD1" w14:textId="3BC074D2" w:rsidR="00D21F29" w:rsidRPr="00E97278"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5C14E62" w14:textId="7C0C1BB1" w:rsidR="00D21F29" w:rsidRPr="00D21F29"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5A439CC0" w14:textId="4FF59170" w:rsidR="00D21F29" w:rsidRDefault="00D21F29" w:rsidP="00D21F29">
    <w:pPr>
      <w:pStyle w:val="Header"/>
      <w:tabs>
        <w:tab w:val="clear" w:pos="4320"/>
        <w:tab w:val="clear" w:pos="8640"/>
        <w:tab w:val="left" w:pos="6190"/>
      </w:tabs>
    </w:pPr>
  </w:p>
  <w:p w14:paraId="53E6D565" w14:textId="77777777" w:rsidR="00D21F29" w:rsidRDefault="00D21F29"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pt;height:18.6pt;visibility:visible" o:bullet="t">
        <v:imagedata r:id="rId1" o:title="" croptop="12526f" cropbottom="7411f" cropleft="12045f" cropright="6359f"/>
      </v:shape>
    </w:pict>
  </w:numPicBullet>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8"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6"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19"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1"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2"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3"/>
  </w:num>
  <w:num w:numId="2" w16cid:durableId="1005667031">
    <w:abstractNumId w:val="23"/>
  </w:num>
  <w:num w:numId="3" w16cid:durableId="1059286313">
    <w:abstractNumId w:val="15"/>
  </w:num>
  <w:num w:numId="4" w16cid:durableId="392893652">
    <w:abstractNumId w:val="14"/>
  </w:num>
  <w:num w:numId="5" w16cid:durableId="1270743283">
    <w:abstractNumId w:val="26"/>
  </w:num>
  <w:num w:numId="6" w16cid:durableId="726077527">
    <w:abstractNumId w:val="0"/>
  </w:num>
  <w:num w:numId="7" w16cid:durableId="80951006">
    <w:abstractNumId w:val="1"/>
  </w:num>
  <w:num w:numId="8" w16cid:durableId="712341255">
    <w:abstractNumId w:val="21"/>
  </w:num>
  <w:num w:numId="9" w16cid:durableId="334263192">
    <w:abstractNumId w:val="20"/>
  </w:num>
  <w:num w:numId="10" w16cid:durableId="1321931414">
    <w:abstractNumId w:val="7"/>
  </w:num>
  <w:num w:numId="11" w16cid:durableId="819927582">
    <w:abstractNumId w:val="6"/>
  </w:num>
  <w:num w:numId="12" w16cid:durableId="1834222315">
    <w:abstractNumId w:val="11"/>
  </w:num>
  <w:num w:numId="13" w16cid:durableId="1727988286">
    <w:abstractNumId w:val="17"/>
  </w:num>
  <w:num w:numId="14" w16cid:durableId="338777892">
    <w:abstractNumId w:val="16"/>
  </w:num>
  <w:num w:numId="15" w16cid:durableId="537395629">
    <w:abstractNumId w:val="19"/>
  </w:num>
  <w:num w:numId="16" w16cid:durableId="1455634041">
    <w:abstractNumId w:val="22"/>
  </w:num>
  <w:num w:numId="17" w16cid:durableId="1685550335">
    <w:abstractNumId w:val="8"/>
  </w:num>
  <w:num w:numId="18" w16cid:durableId="266931805">
    <w:abstractNumId w:val="12"/>
  </w:num>
  <w:num w:numId="19" w16cid:durableId="1685086607">
    <w:abstractNumId w:val="24"/>
  </w:num>
  <w:num w:numId="20" w16cid:durableId="921258589">
    <w:abstractNumId w:val="18"/>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C5E"/>
    <w:rsid w:val="00001EAE"/>
    <w:rsid w:val="000032E5"/>
    <w:rsid w:val="00003894"/>
    <w:rsid w:val="0000398B"/>
    <w:rsid w:val="000039B6"/>
    <w:rsid w:val="00004001"/>
    <w:rsid w:val="00004700"/>
    <w:rsid w:val="00004E61"/>
    <w:rsid w:val="000060A9"/>
    <w:rsid w:val="00006354"/>
    <w:rsid w:val="00010158"/>
    <w:rsid w:val="00011778"/>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621B"/>
    <w:rsid w:val="0001707D"/>
    <w:rsid w:val="00017826"/>
    <w:rsid w:val="00017FA6"/>
    <w:rsid w:val="000209D6"/>
    <w:rsid w:val="00020C35"/>
    <w:rsid w:val="0002166F"/>
    <w:rsid w:val="000221B3"/>
    <w:rsid w:val="00023642"/>
    <w:rsid w:val="00023E62"/>
    <w:rsid w:val="0002435E"/>
    <w:rsid w:val="00024979"/>
    <w:rsid w:val="000251C4"/>
    <w:rsid w:val="000256D1"/>
    <w:rsid w:val="00025D8D"/>
    <w:rsid w:val="00026ADD"/>
    <w:rsid w:val="000275DF"/>
    <w:rsid w:val="00027886"/>
    <w:rsid w:val="00027F39"/>
    <w:rsid w:val="00030B45"/>
    <w:rsid w:val="00030F20"/>
    <w:rsid w:val="00031560"/>
    <w:rsid w:val="00031C3A"/>
    <w:rsid w:val="00031E3A"/>
    <w:rsid w:val="00032548"/>
    <w:rsid w:val="00032DB1"/>
    <w:rsid w:val="00033474"/>
    <w:rsid w:val="0003461E"/>
    <w:rsid w:val="00035814"/>
    <w:rsid w:val="000360A5"/>
    <w:rsid w:val="00036DB6"/>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FC7"/>
    <w:rsid w:val="000564AC"/>
    <w:rsid w:val="00061896"/>
    <w:rsid w:val="000618B4"/>
    <w:rsid w:val="00061AB2"/>
    <w:rsid w:val="00061F73"/>
    <w:rsid w:val="00063CB9"/>
    <w:rsid w:val="00064809"/>
    <w:rsid w:val="00064AB6"/>
    <w:rsid w:val="00064BA4"/>
    <w:rsid w:val="00067883"/>
    <w:rsid w:val="00067C04"/>
    <w:rsid w:val="00067F9F"/>
    <w:rsid w:val="000709B9"/>
    <w:rsid w:val="00072B99"/>
    <w:rsid w:val="00072FEE"/>
    <w:rsid w:val="00073047"/>
    <w:rsid w:val="000739DE"/>
    <w:rsid w:val="00074237"/>
    <w:rsid w:val="000743D6"/>
    <w:rsid w:val="00075324"/>
    <w:rsid w:val="0007732B"/>
    <w:rsid w:val="000802F7"/>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150C"/>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C0069"/>
    <w:rsid w:val="000C1C56"/>
    <w:rsid w:val="000C2AED"/>
    <w:rsid w:val="000C3421"/>
    <w:rsid w:val="000C57BE"/>
    <w:rsid w:val="000C5918"/>
    <w:rsid w:val="000C5A7A"/>
    <w:rsid w:val="000C6015"/>
    <w:rsid w:val="000C6763"/>
    <w:rsid w:val="000C688B"/>
    <w:rsid w:val="000C6B64"/>
    <w:rsid w:val="000C7481"/>
    <w:rsid w:val="000D0117"/>
    <w:rsid w:val="000D1580"/>
    <w:rsid w:val="000D2FB8"/>
    <w:rsid w:val="000D37FC"/>
    <w:rsid w:val="000D4623"/>
    <w:rsid w:val="000D4947"/>
    <w:rsid w:val="000D4C8D"/>
    <w:rsid w:val="000D5753"/>
    <w:rsid w:val="000D69E5"/>
    <w:rsid w:val="000D6C5B"/>
    <w:rsid w:val="000D6EC4"/>
    <w:rsid w:val="000D7858"/>
    <w:rsid w:val="000D7F9F"/>
    <w:rsid w:val="000E0A7D"/>
    <w:rsid w:val="000E0D1F"/>
    <w:rsid w:val="000E1C83"/>
    <w:rsid w:val="000E206D"/>
    <w:rsid w:val="000E2C3E"/>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435D"/>
    <w:rsid w:val="000F4F37"/>
    <w:rsid w:val="000F4FB0"/>
    <w:rsid w:val="000F5814"/>
    <w:rsid w:val="000F66B8"/>
    <w:rsid w:val="000F670E"/>
    <w:rsid w:val="000F68E8"/>
    <w:rsid w:val="000F7399"/>
    <w:rsid w:val="000F7CF3"/>
    <w:rsid w:val="000F7D53"/>
    <w:rsid w:val="001010F3"/>
    <w:rsid w:val="0010168C"/>
    <w:rsid w:val="00101CA5"/>
    <w:rsid w:val="00102695"/>
    <w:rsid w:val="00102C3C"/>
    <w:rsid w:val="00102F04"/>
    <w:rsid w:val="00103CD3"/>
    <w:rsid w:val="00104B17"/>
    <w:rsid w:val="00104E0D"/>
    <w:rsid w:val="0010504E"/>
    <w:rsid w:val="0010510A"/>
    <w:rsid w:val="00105DC4"/>
    <w:rsid w:val="001061C0"/>
    <w:rsid w:val="00106D71"/>
    <w:rsid w:val="0010731D"/>
    <w:rsid w:val="00107406"/>
    <w:rsid w:val="00107600"/>
    <w:rsid w:val="00110F51"/>
    <w:rsid w:val="0011113F"/>
    <w:rsid w:val="00111B71"/>
    <w:rsid w:val="00112DDC"/>
    <w:rsid w:val="00112F4D"/>
    <w:rsid w:val="00113CE9"/>
    <w:rsid w:val="00113E1E"/>
    <w:rsid w:val="00114A6C"/>
    <w:rsid w:val="00115277"/>
    <w:rsid w:val="001156D2"/>
    <w:rsid w:val="00115CDA"/>
    <w:rsid w:val="00116D0B"/>
    <w:rsid w:val="00116D8B"/>
    <w:rsid w:val="00117490"/>
    <w:rsid w:val="00117696"/>
    <w:rsid w:val="00117952"/>
    <w:rsid w:val="001207EF"/>
    <w:rsid w:val="00120AE3"/>
    <w:rsid w:val="0012184E"/>
    <w:rsid w:val="0012230D"/>
    <w:rsid w:val="001225CB"/>
    <w:rsid w:val="00124054"/>
    <w:rsid w:val="0012497F"/>
    <w:rsid w:val="00124DB5"/>
    <w:rsid w:val="00124E6A"/>
    <w:rsid w:val="00124ED5"/>
    <w:rsid w:val="00126853"/>
    <w:rsid w:val="00126FF9"/>
    <w:rsid w:val="001270B8"/>
    <w:rsid w:val="001273C6"/>
    <w:rsid w:val="00130AE9"/>
    <w:rsid w:val="00131E2C"/>
    <w:rsid w:val="00132EE9"/>
    <w:rsid w:val="00133698"/>
    <w:rsid w:val="00134C0C"/>
    <w:rsid w:val="00135576"/>
    <w:rsid w:val="00135C7A"/>
    <w:rsid w:val="00136BE2"/>
    <w:rsid w:val="0014028E"/>
    <w:rsid w:val="00140A8A"/>
    <w:rsid w:val="00141A33"/>
    <w:rsid w:val="00142117"/>
    <w:rsid w:val="00142347"/>
    <w:rsid w:val="0014261C"/>
    <w:rsid w:val="001430AA"/>
    <w:rsid w:val="0014399E"/>
    <w:rsid w:val="001445CE"/>
    <w:rsid w:val="00144EB2"/>
    <w:rsid w:val="00145F88"/>
    <w:rsid w:val="00146B79"/>
    <w:rsid w:val="00146FBA"/>
    <w:rsid w:val="00150B3B"/>
    <w:rsid w:val="00151612"/>
    <w:rsid w:val="00151989"/>
    <w:rsid w:val="00151F97"/>
    <w:rsid w:val="00153A6F"/>
    <w:rsid w:val="00153F2D"/>
    <w:rsid w:val="001542AE"/>
    <w:rsid w:val="00156264"/>
    <w:rsid w:val="0015671D"/>
    <w:rsid w:val="00156BF7"/>
    <w:rsid w:val="00157066"/>
    <w:rsid w:val="001600D9"/>
    <w:rsid w:val="001604F3"/>
    <w:rsid w:val="00160856"/>
    <w:rsid w:val="00161169"/>
    <w:rsid w:val="001634E7"/>
    <w:rsid w:val="0016375D"/>
    <w:rsid w:val="001638EB"/>
    <w:rsid w:val="00163BEE"/>
    <w:rsid w:val="00164B78"/>
    <w:rsid w:val="00164FFE"/>
    <w:rsid w:val="00165225"/>
    <w:rsid w:val="00165467"/>
    <w:rsid w:val="00167930"/>
    <w:rsid w:val="00170A9A"/>
    <w:rsid w:val="001721C0"/>
    <w:rsid w:val="00172F58"/>
    <w:rsid w:val="00172FC0"/>
    <w:rsid w:val="001744F9"/>
    <w:rsid w:val="00174585"/>
    <w:rsid w:val="00174B9B"/>
    <w:rsid w:val="00174E1C"/>
    <w:rsid w:val="00175DE4"/>
    <w:rsid w:val="00176006"/>
    <w:rsid w:val="001763FB"/>
    <w:rsid w:val="0017668C"/>
    <w:rsid w:val="00177098"/>
    <w:rsid w:val="00177EC7"/>
    <w:rsid w:val="001806EA"/>
    <w:rsid w:val="0018087A"/>
    <w:rsid w:val="00181DEB"/>
    <w:rsid w:val="0018238E"/>
    <w:rsid w:val="001829C9"/>
    <w:rsid w:val="00183E9B"/>
    <w:rsid w:val="0018469E"/>
    <w:rsid w:val="00186420"/>
    <w:rsid w:val="001866DE"/>
    <w:rsid w:val="001907A4"/>
    <w:rsid w:val="00190B59"/>
    <w:rsid w:val="0019105A"/>
    <w:rsid w:val="00191350"/>
    <w:rsid w:val="0019150B"/>
    <w:rsid w:val="0019260C"/>
    <w:rsid w:val="00193E59"/>
    <w:rsid w:val="00195F78"/>
    <w:rsid w:val="001963DE"/>
    <w:rsid w:val="00197A4F"/>
    <w:rsid w:val="001A0637"/>
    <w:rsid w:val="001A0793"/>
    <w:rsid w:val="001A171A"/>
    <w:rsid w:val="001A192D"/>
    <w:rsid w:val="001A1DC6"/>
    <w:rsid w:val="001A2ACC"/>
    <w:rsid w:val="001A342F"/>
    <w:rsid w:val="001A3539"/>
    <w:rsid w:val="001A4B29"/>
    <w:rsid w:val="001A4B9B"/>
    <w:rsid w:val="001A5652"/>
    <w:rsid w:val="001A582D"/>
    <w:rsid w:val="001A5EBA"/>
    <w:rsid w:val="001A6E55"/>
    <w:rsid w:val="001B0473"/>
    <w:rsid w:val="001B1139"/>
    <w:rsid w:val="001B12D3"/>
    <w:rsid w:val="001B1B38"/>
    <w:rsid w:val="001B2224"/>
    <w:rsid w:val="001B45DD"/>
    <w:rsid w:val="001B4677"/>
    <w:rsid w:val="001B6595"/>
    <w:rsid w:val="001B6A5C"/>
    <w:rsid w:val="001B6F43"/>
    <w:rsid w:val="001B6FC2"/>
    <w:rsid w:val="001B7654"/>
    <w:rsid w:val="001C006B"/>
    <w:rsid w:val="001C03C3"/>
    <w:rsid w:val="001C05DB"/>
    <w:rsid w:val="001C0D43"/>
    <w:rsid w:val="001C2162"/>
    <w:rsid w:val="001C22E3"/>
    <w:rsid w:val="001C23B6"/>
    <w:rsid w:val="001C2BF0"/>
    <w:rsid w:val="001C2C90"/>
    <w:rsid w:val="001C3D0E"/>
    <w:rsid w:val="001C4405"/>
    <w:rsid w:val="001C46CD"/>
    <w:rsid w:val="001C5219"/>
    <w:rsid w:val="001C53AA"/>
    <w:rsid w:val="001C5417"/>
    <w:rsid w:val="001C56E8"/>
    <w:rsid w:val="001C6627"/>
    <w:rsid w:val="001C7E55"/>
    <w:rsid w:val="001D144F"/>
    <w:rsid w:val="001D1A20"/>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AFB"/>
    <w:rsid w:val="001E2E5A"/>
    <w:rsid w:val="001E39E3"/>
    <w:rsid w:val="001E3FEA"/>
    <w:rsid w:val="001E4908"/>
    <w:rsid w:val="001E51FC"/>
    <w:rsid w:val="001E56F4"/>
    <w:rsid w:val="001E5B13"/>
    <w:rsid w:val="001E5CEA"/>
    <w:rsid w:val="001F0380"/>
    <w:rsid w:val="001F1285"/>
    <w:rsid w:val="001F1489"/>
    <w:rsid w:val="001F1921"/>
    <w:rsid w:val="001F1E6E"/>
    <w:rsid w:val="001F2876"/>
    <w:rsid w:val="001F32F8"/>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44A7"/>
    <w:rsid w:val="00204735"/>
    <w:rsid w:val="00205039"/>
    <w:rsid w:val="00205168"/>
    <w:rsid w:val="00205239"/>
    <w:rsid w:val="00205324"/>
    <w:rsid w:val="0020548E"/>
    <w:rsid w:val="00205595"/>
    <w:rsid w:val="00205E6B"/>
    <w:rsid w:val="002060DB"/>
    <w:rsid w:val="0020799B"/>
    <w:rsid w:val="002107AA"/>
    <w:rsid w:val="00210D18"/>
    <w:rsid w:val="00211DCE"/>
    <w:rsid w:val="00212A97"/>
    <w:rsid w:val="00214AB0"/>
    <w:rsid w:val="0021508C"/>
    <w:rsid w:val="0021530B"/>
    <w:rsid w:val="00215A38"/>
    <w:rsid w:val="00215E6A"/>
    <w:rsid w:val="002163B7"/>
    <w:rsid w:val="002163F2"/>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FB"/>
    <w:rsid w:val="00253D4F"/>
    <w:rsid w:val="0025401C"/>
    <w:rsid w:val="00254A25"/>
    <w:rsid w:val="00254CCC"/>
    <w:rsid w:val="0025687D"/>
    <w:rsid w:val="00256998"/>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33A2"/>
    <w:rsid w:val="00274768"/>
    <w:rsid w:val="002756A3"/>
    <w:rsid w:val="002760A3"/>
    <w:rsid w:val="002760BD"/>
    <w:rsid w:val="002764FB"/>
    <w:rsid w:val="002768DB"/>
    <w:rsid w:val="002772F4"/>
    <w:rsid w:val="002775D1"/>
    <w:rsid w:val="00277C0C"/>
    <w:rsid w:val="00280BE5"/>
    <w:rsid w:val="00280C06"/>
    <w:rsid w:val="0028126A"/>
    <w:rsid w:val="002813C2"/>
    <w:rsid w:val="0028232F"/>
    <w:rsid w:val="00282650"/>
    <w:rsid w:val="00282855"/>
    <w:rsid w:val="00283035"/>
    <w:rsid w:val="002838F3"/>
    <w:rsid w:val="00283A6E"/>
    <w:rsid w:val="00283E11"/>
    <w:rsid w:val="00283E7C"/>
    <w:rsid w:val="002841F0"/>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59B0"/>
    <w:rsid w:val="00296604"/>
    <w:rsid w:val="00296A63"/>
    <w:rsid w:val="00296EF8"/>
    <w:rsid w:val="0029729C"/>
    <w:rsid w:val="002974C4"/>
    <w:rsid w:val="00297710"/>
    <w:rsid w:val="00297898"/>
    <w:rsid w:val="00297B2C"/>
    <w:rsid w:val="002A0406"/>
    <w:rsid w:val="002A0900"/>
    <w:rsid w:val="002A1328"/>
    <w:rsid w:val="002A1E9E"/>
    <w:rsid w:val="002A1EAC"/>
    <w:rsid w:val="002A2503"/>
    <w:rsid w:val="002A2966"/>
    <w:rsid w:val="002A2A1B"/>
    <w:rsid w:val="002A2DE2"/>
    <w:rsid w:val="002A43F7"/>
    <w:rsid w:val="002A476C"/>
    <w:rsid w:val="002A5A85"/>
    <w:rsid w:val="002A5ACF"/>
    <w:rsid w:val="002A5C3B"/>
    <w:rsid w:val="002A5E4E"/>
    <w:rsid w:val="002A6555"/>
    <w:rsid w:val="002A6E26"/>
    <w:rsid w:val="002A723A"/>
    <w:rsid w:val="002A743C"/>
    <w:rsid w:val="002A7E5B"/>
    <w:rsid w:val="002B0B00"/>
    <w:rsid w:val="002B14DF"/>
    <w:rsid w:val="002B15AD"/>
    <w:rsid w:val="002B2055"/>
    <w:rsid w:val="002B3EAE"/>
    <w:rsid w:val="002B4034"/>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491B"/>
    <w:rsid w:val="002D4D55"/>
    <w:rsid w:val="002D5A91"/>
    <w:rsid w:val="002D6723"/>
    <w:rsid w:val="002D6889"/>
    <w:rsid w:val="002D71EA"/>
    <w:rsid w:val="002D7557"/>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2E1"/>
    <w:rsid w:val="002E64AF"/>
    <w:rsid w:val="002F0129"/>
    <w:rsid w:val="002F088C"/>
    <w:rsid w:val="002F0F0E"/>
    <w:rsid w:val="002F1A9A"/>
    <w:rsid w:val="002F1DE2"/>
    <w:rsid w:val="002F2336"/>
    <w:rsid w:val="002F26D8"/>
    <w:rsid w:val="002F27B8"/>
    <w:rsid w:val="002F48B9"/>
    <w:rsid w:val="002F5568"/>
    <w:rsid w:val="002F5A9E"/>
    <w:rsid w:val="002F5F54"/>
    <w:rsid w:val="002F672B"/>
    <w:rsid w:val="002F7D07"/>
    <w:rsid w:val="00300258"/>
    <w:rsid w:val="0030068A"/>
    <w:rsid w:val="00300CF4"/>
    <w:rsid w:val="00301085"/>
    <w:rsid w:val="00301362"/>
    <w:rsid w:val="003013C1"/>
    <w:rsid w:val="003020A9"/>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BDD"/>
    <w:rsid w:val="00324430"/>
    <w:rsid w:val="00325F62"/>
    <w:rsid w:val="00326698"/>
    <w:rsid w:val="00327D53"/>
    <w:rsid w:val="00330231"/>
    <w:rsid w:val="00331137"/>
    <w:rsid w:val="00332054"/>
    <w:rsid w:val="003321D1"/>
    <w:rsid w:val="00332397"/>
    <w:rsid w:val="00332E23"/>
    <w:rsid w:val="00333435"/>
    <w:rsid w:val="00334953"/>
    <w:rsid w:val="00335139"/>
    <w:rsid w:val="00337015"/>
    <w:rsid w:val="00340115"/>
    <w:rsid w:val="00340484"/>
    <w:rsid w:val="0034074E"/>
    <w:rsid w:val="0034085B"/>
    <w:rsid w:val="00341650"/>
    <w:rsid w:val="0034198B"/>
    <w:rsid w:val="00342627"/>
    <w:rsid w:val="003427CD"/>
    <w:rsid w:val="00342BF9"/>
    <w:rsid w:val="00343A3C"/>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46A3"/>
    <w:rsid w:val="0035538B"/>
    <w:rsid w:val="00355E23"/>
    <w:rsid w:val="003567DA"/>
    <w:rsid w:val="003569A0"/>
    <w:rsid w:val="00361678"/>
    <w:rsid w:val="00361F62"/>
    <w:rsid w:val="00362018"/>
    <w:rsid w:val="00362834"/>
    <w:rsid w:val="0036311E"/>
    <w:rsid w:val="00363327"/>
    <w:rsid w:val="0036392C"/>
    <w:rsid w:val="00363AAB"/>
    <w:rsid w:val="00365CE4"/>
    <w:rsid w:val="00366764"/>
    <w:rsid w:val="00367835"/>
    <w:rsid w:val="00370225"/>
    <w:rsid w:val="00370888"/>
    <w:rsid w:val="00370A28"/>
    <w:rsid w:val="0037116A"/>
    <w:rsid w:val="003712B9"/>
    <w:rsid w:val="0037212A"/>
    <w:rsid w:val="0037347F"/>
    <w:rsid w:val="003739C5"/>
    <w:rsid w:val="00373CF8"/>
    <w:rsid w:val="00374399"/>
    <w:rsid w:val="003745FE"/>
    <w:rsid w:val="003747D0"/>
    <w:rsid w:val="00375DCE"/>
    <w:rsid w:val="00376282"/>
    <w:rsid w:val="00376AC6"/>
    <w:rsid w:val="003776AA"/>
    <w:rsid w:val="00377D5E"/>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358F"/>
    <w:rsid w:val="003940FE"/>
    <w:rsid w:val="003961AE"/>
    <w:rsid w:val="0039695A"/>
    <w:rsid w:val="003977D8"/>
    <w:rsid w:val="003A07BF"/>
    <w:rsid w:val="003A1055"/>
    <w:rsid w:val="003A12EA"/>
    <w:rsid w:val="003A2612"/>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D5F"/>
    <w:rsid w:val="003B1FBF"/>
    <w:rsid w:val="003B21F7"/>
    <w:rsid w:val="003B2EFF"/>
    <w:rsid w:val="003B3666"/>
    <w:rsid w:val="003B3875"/>
    <w:rsid w:val="003B3A4E"/>
    <w:rsid w:val="003B41C7"/>
    <w:rsid w:val="003B496A"/>
    <w:rsid w:val="003B5256"/>
    <w:rsid w:val="003B5FA0"/>
    <w:rsid w:val="003B6047"/>
    <w:rsid w:val="003B693F"/>
    <w:rsid w:val="003B6ECC"/>
    <w:rsid w:val="003B71AB"/>
    <w:rsid w:val="003B76C1"/>
    <w:rsid w:val="003B7A6C"/>
    <w:rsid w:val="003B7E92"/>
    <w:rsid w:val="003C01AC"/>
    <w:rsid w:val="003C04A9"/>
    <w:rsid w:val="003C0D77"/>
    <w:rsid w:val="003C0FEC"/>
    <w:rsid w:val="003C10E1"/>
    <w:rsid w:val="003C1943"/>
    <w:rsid w:val="003C1A1A"/>
    <w:rsid w:val="003C1AB9"/>
    <w:rsid w:val="003C2214"/>
    <w:rsid w:val="003C2961"/>
    <w:rsid w:val="003C2B5C"/>
    <w:rsid w:val="003C4E4D"/>
    <w:rsid w:val="003C5493"/>
    <w:rsid w:val="003C6F87"/>
    <w:rsid w:val="003C7251"/>
    <w:rsid w:val="003C7719"/>
    <w:rsid w:val="003C776C"/>
    <w:rsid w:val="003D0040"/>
    <w:rsid w:val="003D02CD"/>
    <w:rsid w:val="003D0B8C"/>
    <w:rsid w:val="003D3787"/>
    <w:rsid w:val="003D4AAD"/>
    <w:rsid w:val="003D5FD3"/>
    <w:rsid w:val="003D61B5"/>
    <w:rsid w:val="003D6CFB"/>
    <w:rsid w:val="003D7514"/>
    <w:rsid w:val="003E037C"/>
    <w:rsid w:val="003E15B9"/>
    <w:rsid w:val="003E1ADD"/>
    <w:rsid w:val="003E1D8E"/>
    <w:rsid w:val="003E28EB"/>
    <w:rsid w:val="003E3B30"/>
    <w:rsid w:val="003E467E"/>
    <w:rsid w:val="003E53BB"/>
    <w:rsid w:val="003E5A6B"/>
    <w:rsid w:val="003E65F5"/>
    <w:rsid w:val="003E6E08"/>
    <w:rsid w:val="003F0F5F"/>
    <w:rsid w:val="003F14BD"/>
    <w:rsid w:val="003F1EF0"/>
    <w:rsid w:val="003F2DBE"/>
    <w:rsid w:val="003F4461"/>
    <w:rsid w:val="003F48B6"/>
    <w:rsid w:val="003F4A0E"/>
    <w:rsid w:val="003F589D"/>
    <w:rsid w:val="003F58AF"/>
    <w:rsid w:val="003F6728"/>
    <w:rsid w:val="003F6F4E"/>
    <w:rsid w:val="003F7F2F"/>
    <w:rsid w:val="00400F0F"/>
    <w:rsid w:val="0040136C"/>
    <w:rsid w:val="00401792"/>
    <w:rsid w:val="00402758"/>
    <w:rsid w:val="00402838"/>
    <w:rsid w:val="0040304B"/>
    <w:rsid w:val="0040325C"/>
    <w:rsid w:val="00404159"/>
    <w:rsid w:val="004043E9"/>
    <w:rsid w:val="00404967"/>
    <w:rsid w:val="004050E0"/>
    <w:rsid w:val="004070B7"/>
    <w:rsid w:val="0041306A"/>
    <w:rsid w:val="0041349F"/>
    <w:rsid w:val="004134D0"/>
    <w:rsid w:val="0041365C"/>
    <w:rsid w:val="00413C81"/>
    <w:rsid w:val="004143CB"/>
    <w:rsid w:val="00414FEA"/>
    <w:rsid w:val="0041514F"/>
    <w:rsid w:val="00415998"/>
    <w:rsid w:val="00416250"/>
    <w:rsid w:val="004170D0"/>
    <w:rsid w:val="00417A18"/>
    <w:rsid w:val="00420273"/>
    <w:rsid w:val="00420950"/>
    <w:rsid w:val="004216A9"/>
    <w:rsid w:val="00421726"/>
    <w:rsid w:val="00421CA3"/>
    <w:rsid w:val="004227F4"/>
    <w:rsid w:val="00422BEE"/>
    <w:rsid w:val="00422FBD"/>
    <w:rsid w:val="00423A30"/>
    <w:rsid w:val="00423BCE"/>
    <w:rsid w:val="00424D45"/>
    <w:rsid w:val="00424E9C"/>
    <w:rsid w:val="00424EF0"/>
    <w:rsid w:val="004255C0"/>
    <w:rsid w:val="00426370"/>
    <w:rsid w:val="00427338"/>
    <w:rsid w:val="004278B3"/>
    <w:rsid w:val="00427DD6"/>
    <w:rsid w:val="0043130B"/>
    <w:rsid w:val="00431D4D"/>
    <w:rsid w:val="00433A7A"/>
    <w:rsid w:val="00433DB7"/>
    <w:rsid w:val="00433E14"/>
    <w:rsid w:val="00434298"/>
    <w:rsid w:val="00435119"/>
    <w:rsid w:val="0043678A"/>
    <w:rsid w:val="00436802"/>
    <w:rsid w:val="00437204"/>
    <w:rsid w:val="004374D6"/>
    <w:rsid w:val="00437F97"/>
    <w:rsid w:val="00440EFA"/>
    <w:rsid w:val="00441096"/>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2483"/>
    <w:rsid w:val="004624DE"/>
    <w:rsid w:val="004625A7"/>
    <w:rsid w:val="0046281F"/>
    <w:rsid w:val="00462D2D"/>
    <w:rsid w:val="004634EA"/>
    <w:rsid w:val="00463D01"/>
    <w:rsid w:val="0046405B"/>
    <w:rsid w:val="00464BA8"/>
    <w:rsid w:val="0046516A"/>
    <w:rsid w:val="004651E0"/>
    <w:rsid w:val="00465BA4"/>
    <w:rsid w:val="0046603A"/>
    <w:rsid w:val="0046611E"/>
    <w:rsid w:val="004662DB"/>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E2D"/>
    <w:rsid w:val="004761C7"/>
    <w:rsid w:val="0047630E"/>
    <w:rsid w:val="004765BA"/>
    <w:rsid w:val="0047666D"/>
    <w:rsid w:val="00476A20"/>
    <w:rsid w:val="00476B4C"/>
    <w:rsid w:val="00477B4C"/>
    <w:rsid w:val="00480C58"/>
    <w:rsid w:val="0048106A"/>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F39"/>
    <w:rsid w:val="00490F6D"/>
    <w:rsid w:val="00492994"/>
    <w:rsid w:val="00492B6F"/>
    <w:rsid w:val="00494644"/>
    <w:rsid w:val="004952E2"/>
    <w:rsid w:val="00495547"/>
    <w:rsid w:val="004955D2"/>
    <w:rsid w:val="00496C09"/>
    <w:rsid w:val="00496FEA"/>
    <w:rsid w:val="0049743B"/>
    <w:rsid w:val="00497C4D"/>
    <w:rsid w:val="004A00BD"/>
    <w:rsid w:val="004A048F"/>
    <w:rsid w:val="004A0AAA"/>
    <w:rsid w:val="004A1179"/>
    <w:rsid w:val="004A13F5"/>
    <w:rsid w:val="004A15B3"/>
    <w:rsid w:val="004A1709"/>
    <w:rsid w:val="004A2E39"/>
    <w:rsid w:val="004A38B9"/>
    <w:rsid w:val="004A3CF1"/>
    <w:rsid w:val="004A4483"/>
    <w:rsid w:val="004A476A"/>
    <w:rsid w:val="004A543B"/>
    <w:rsid w:val="004A571B"/>
    <w:rsid w:val="004A5828"/>
    <w:rsid w:val="004A72AF"/>
    <w:rsid w:val="004A7446"/>
    <w:rsid w:val="004A7ECD"/>
    <w:rsid w:val="004A7F62"/>
    <w:rsid w:val="004B015A"/>
    <w:rsid w:val="004B0B07"/>
    <w:rsid w:val="004B1014"/>
    <w:rsid w:val="004B11A4"/>
    <w:rsid w:val="004B2F3F"/>
    <w:rsid w:val="004B32D8"/>
    <w:rsid w:val="004B3BC6"/>
    <w:rsid w:val="004B3FD9"/>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63DC"/>
    <w:rsid w:val="004D6D75"/>
    <w:rsid w:val="004D7859"/>
    <w:rsid w:val="004D7C38"/>
    <w:rsid w:val="004E00C8"/>
    <w:rsid w:val="004E0350"/>
    <w:rsid w:val="004E087F"/>
    <w:rsid w:val="004E0F0B"/>
    <w:rsid w:val="004E1360"/>
    <w:rsid w:val="004E1471"/>
    <w:rsid w:val="004E1A9D"/>
    <w:rsid w:val="004E1AE0"/>
    <w:rsid w:val="004E393A"/>
    <w:rsid w:val="004E4074"/>
    <w:rsid w:val="004E4B8A"/>
    <w:rsid w:val="004E4D6B"/>
    <w:rsid w:val="004E5163"/>
    <w:rsid w:val="004E6EEC"/>
    <w:rsid w:val="004E7413"/>
    <w:rsid w:val="004E7E47"/>
    <w:rsid w:val="004F0333"/>
    <w:rsid w:val="004F0C02"/>
    <w:rsid w:val="004F0C1C"/>
    <w:rsid w:val="004F1386"/>
    <w:rsid w:val="004F1483"/>
    <w:rsid w:val="004F1C60"/>
    <w:rsid w:val="004F20A4"/>
    <w:rsid w:val="004F2261"/>
    <w:rsid w:val="004F2A13"/>
    <w:rsid w:val="004F348D"/>
    <w:rsid w:val="004F34AB"/>
    <w:rsid w:val="004F3C7D"/>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6A6"/>
    <w:rsid w:val="00504809"/>
    <w:rsid w:val="00504D1A"/>
    <w:rsid w:val="00507091"/>
    <w:rsid w:val="00507464"/>
    <w:rsid w:val="00507A51"/>
    <w:rsid w:val="00510105"/>
    <w:rsid w:val="0051067B"/>
    <w:rsid w:val="0051074E"/>
    <w:rsid w:val="00511AB2"/>
    <w:rsid w:val="00511C1D"/>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596"/>
    <w:rsid w:val="005179CD"/>
    <w:rsid w:val="00517E39"/>
    <w:rsid w:val="00520619"/>
    <w:rsid w:val="00520D39"/>
    <w:rsid w:val="00520F5D"/>
    <w:rsid w:val="005217D0"/>
    <w:rsid w:val="00521E96"/>
    <w:rsid w:val="00521EAE"/>
    <w:rsid w:val="00522CFA"/>
    <w:rsid w:val="0052343C"/>
    <w:rsid w:val="00523FAA"/>
    <w:rsid w:val="00524F62"/>
    <w:rsid w:val="005253AF"/>
    <w:rsid w:val="00525A27"/>
    <w:rsid w:val="00525B28"/>
    <w:rsid w:val="00525B5D"/>
    <w:rsid w:val="0052615D"/>
    <w:rsid w:val="005262C1"/>
    <w:rsid w:val="00526DC0"/>
    <w:rsid w:val="005272DB"/>
    <w:rsid w:val="00530769"/>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628"/>
    <w:rsid w:val="00536749"/>
    <w:rsid w:val="00536947"/>
    <w:rsid w:val="00536F59"/>
    <w:rsid w:val="00540BB9"/>
    <w:rsid w:val="00540BE5"/>
    <w:rsid w:val="00540D34"/>
    <w:rsid w:val="0054124F"/>
    <w:rsid w:val="0054138E"/>
    <w:rsid w:val="00542D94"/>
    <w:rsid w:val="005437D9"/>
    <w:rsid w:val="0054574A"/>
    <w:rsid w:val="005459A8"/>
    <w:rsid w:val="00545FA0"/>
    <w:rsid w:val="0054617E"/>
    <w:rsid w:val="005473C2"/>
    <w:rsid w:val="005507A9"/>
    <w:rsid w:val="0055088F"/>
    <w:rsid w:val="00550901"/>
    <w:rsid w:val="00550D9A"/>
    <w:rsid w:val="00550FC1"/>
    <w:rsid w:val="005510B1"/>
    <w:rsid w:val="00551ED1"/>
    <w:rsid w:val="00552C72"/>
    <w:rsid w:val="0055373D"/>
    <w:rsid w:val="00553ADE"/>
    <w:rsid w:val="00554311"/>
    <w:rsid w:val="00554715"/>
    <w:rsid w:val="00555729"/>
    <w:rsid w:val="00555AD9"/>
    <w:rsid w:val="005566A3"/>
    <w:rsid w:val="00556ACB"/>
    <w:rsid w:val="00556FC4"/>
    <w:rsid w:val="005573B3"/>
    <w:rsid w:val="005573BB"/>
    <w:rsid w:val="00557804"/>
    <w:rsid w:val="00557D06"/>
    <w:rsid w:val="00561068"/>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81329"/>
    <w:rsid w:val="00582C08"/>
    <w:rsid w:val="00582C70"/>
    <w:rsid w:val="00582D95"/>
    <w:rsid w:val="00582EFD"/>
    <w:rsid w:val="005838E8"/>
    <w:rsid w:val="00583FAD"/>
    <w:rsid w:val="005843B2"/>
    <w:rsid w:val="00585557"/>
    <w:rsid w:val="00585BC2"/>
    <w:rsid w:val="00585D34"/>
    <w:rsid w:val="00586C93"/>
    <w:rsid w:val="00586DCA"/>
    <w:rsid w:val="00587A22"/>
    <w:rsid w:val="00590614"/>
    <w:rsid w:val="005913D1"/>
    <w:rsid w:val="005918D1"/>
    <w:rsid w:val="00594011"/>
    <w:rsid w:val="005945C8"/>
    <w:rsid w:val="00595FD8"/>
    <w:rsid w:val="00597845"/>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4004"/>
    <w:rsid w:val="005B4FBD"/>
    <w:rsid w:val="005B5169"/>
    <w:rsid w:val="005B6725"/>
    <w:rsid w:val="005B7427"/>
    <w:rsid w:val="005B7DDF"/>
    <w:rsid w:val="005C0C52"/>
    <w:rsid w:val="005C14C2"/>
    <w:rsid w:val="005C362A"/>
    <w:rsid w:val="005C3FFD"/>
    <w:rsid w:val="005C4311"/>
    <w:rsid w:val="005C6BF5"/>
    <w:rsid w:val="005C6DCB"/>
    <w:rsid w:val="005D0690"/>
    <w:rsid w:val="005D1F17"/>
    <w:rsid w:val="005D22B2"/>
    <w:rsid w:val="005D3F8B"/>
    <w:rsid w:val="005D5508"/>
    <w:rsid w:val="005D64BA"/>
    <w:rsid w:val="005D6D24"/>
    <w:rsid w:val="005D7714"/>
    <w:rsid w:val="005D799E"/>
    <w:rsid w:val="005E00AD"/>
    <w:rsid w:val="005E1087"/>
    <w:rsid w:val="005E10AF"/>
    <w:rsid w:val="005E1FBE"/>
    <w:rsid w:val="005E2832"/>
    <w:rsid w:val="005E3248"/>
    <w:rsid w:val="005E363D"/>
    <w:rsid w:val="005E3CAC"/>
    <w:rsid w:val="005E3DB9"/>
    <w:rsid w:val="005E414F"/>
    <w:rsid w:val="005E5083"/>
    <w:rsid w:val="005E54D4"/>
    <w:rsid w:val="005E59DB"/>
    <w:rsid w:val="005E635B"/>
    <w:rsid w:val="005E75A0"/>
    <w:rsid w:val="005F00C3"/>
    <w:rsid w:val="005F2033"/>
    <w:rsid w:val="005F28F5"/>
    <w:rsid w:val="005F408F"/>
    <w:rsid w:val="005F4279"/>
    <w:rsid w:val="005F481B"/>
    <w:rsid w:val="005F5010"/>
    <w:rsid w:val="005F5034"/>
    <w:rsid w:val="005F5818"/>
    <w:rsid w:val="005F61B8"/>
    <w:rsid w:val="005F6257"/>
    <w:rsid w:val="005F762F"/>
    <w:rsid w:val="005F7AB7"/>
    <w:rsid w:val="0060065D"/>
    <w:rsid w:val="006029F5"/>
    <w:rsid w:val="00603B42"/>
    <w:rsid w:val="00603E99"/>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6B4"/>
    <w:rsid w:val="006122DB"/>
    <w:rsid w:val="00612978"/>
    <w:rsid w:val="006133A3"/>
    <w:rsid w:val="00613A18"/>
    <w:rsid w:val="006147C9"/>
    <w:rsid w:val="00614B2B"/>
    <w:rsid w:val="0061562D"/>
    <w:rsid w:val="00615BD0"/>
    <w:rsid w:val="006160D5"/>
    <w:rsid w:val="00616172"/>
    <w:rsid w:val="00616AB4"/>
    <w:rsid w:val="00617122"/>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3007F"/>
    <w:rsid w:val="006302EB"/>
    <w:rsid w:val="00630925"/>
    <w:rsid w:val="00631022"/>
    <w:rsid w:val="006315A8"/>
    <w:rsid w:val="006318FB"/>
    <w:rsid w:val="0063215B"/>
    <w:rsid w:val="00632DF6"/>
    <w:rsid w:val="00633452"/>
    <w:rsid w:val="00634A84"/>
    <w:rsid w:val="00634AD8"/>
    <w:rsid w:val="006362E6"/>
    <w:rsid w:val="00636B0E"/>
    <w:rsid w:val="00637BE2"/>
    <w:rsid w:val="00640856"/>
    <w:rsid w:val="00640F04"/>
    <w:rsid w:val="006414D9"/>
    <w:rsid w:val="00641AC8"/>
    <w:rsid w:val="00641BA0"/>
    <w:rsid w:val="00642FF1"/>
    <w:rsid w:val="0064369A"/>
    <w:rsid w:val="00643754"/>
    <w:rsid w:val="0064501C"/>
    <w:rsid w:val="00646642"/>
    <w:rsid w:val="00646E42"/>
    <w:rsid w:val="0064716E"/>
    <w:rsid w:val="00647F29"/>
    <w:rsid w:val="00650305"/>
    <w:rsid w:val="00650385"/>
    <w:rsid w:val="00650588"/>
    <w:rsid w:val="00650873"/>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43A"/>
    <w:rsid w:val="006566BC"/>
    <w:rsid w:val="006567B2"/>
    <w:rsid w:val="006570CC"/>
    <w:rsid w:val="00657135"/>
    <w:rsid w:val="0065724F"/>
    <w:rsid w:val="00660214"/>
    <w:rsid w:val="00660BFE"/>
    <w:rsid w:val="00661A0F"/>
    <w:rsid w:val="00661BD9"/>
    <w:rsid w:val="006628E4"/>
    <w:rsid w:val="00664D35"/>
    <w:rsid w:val="00665097"/>
    <w:rsid w:val="00665E2F"/>
    <w:rsid w:val="0066646D"/>
    <w:rsid w:val="00666A8B"/>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5039"/>
    <w:rsid w:val="006856E6"/>
    <w:rsid w:val="00685BA9"/>
    <w:rsid w:val="0068636B"/>
    <w:rsid w:val="00686ABE"/>
    <w:rsid w:val="00687993"/>
    <w:rsid w:val="006902F0"/>
    <w:rsid w:val="006905D0"/>
    <w:rsid w:val="00690AC9"/>
    <w:rsid w:val="00691386"/>
    <w:rsid w:val="00692716"/>
    <w:rsid w:val="006935F4"/>
    <w:rsid w:val="00693A7B"/>
    <w:rsid w:val="00693B33"/>
    <w:rsid w:val="00694144"/>
    <w:rsid w:val="006942A9"/>
    <w:rsid w:val="00695D5E"/>
    <w:rsid w:val="006973EB"/>
    <w:rsid w:val="0069761B"/>
    <w:rsid w:val="006A02EA"/>
    <w:rsid w:val="006A05A9"/>
    <w:rsid w:val="006A11BE"/>
    <w:rsid w:val="006A3544"/>
    <w:rsid w:val="006A36A8"/>
    <w:rsid w:val="006A36C0"/>
    <w:rsid w:val="006A3A68"/>
    <w:rsid w:val="006A3AA9"/>
    <w:rsid w:val="006A5203"/>
    <w:rsid w:val="006A6410"/>
    <w:rsid w:val="006A728F"/>
    <w:rsid w:val="006A75D3"/>
    <w:rsid w:val="006B0ACA"/>
    <w:rsid w:val="006B0F30"/>
    <w:rsid w:val="006B10DC"/>
    <w:rsid w:val="006B2A87"/>
    <w:rsid w:val="006B2FE9"/>
    <w:rsid w:val="006B33AE"/>
    <w:rsid w:val="006B3671"/>
    <w:rsid w:val="006B486C"/>
    <w:rsid w:val="006B4CA9"/>
    <w:rsid w:val="006B59B9"/>
    <w:rsid w:val="006B64EC"/>
    <w:rsid w:val="006B6952"/>
    <w:rsid w:val="006B69D7"/>
    <w:rsid w:val="006B7031"/>
    <w:rsid w:val="006B7B05"/>
    <w:rsid w:val="006C0CA1"/>
    <w:rsid w:val="006C100B"/>
    <w:rsid w:val="006C2507"/>
    <w:rsid w:val="006C28CF"/>
    <w:rsid w:val="006C3B7E"/>
    <w:rsid w:val="006C4702"/>
    <w:rsid w:val="006C4BB8"/>
    <w:rsid w:val="006C6111"/>
    <w:rsid w:val="006C6B39"/>
    <w:rsid w:val="006C7125"/>
    <w:rsid w:val="006D0CD0"/>
    <w:rsid w:val="006D16E4"/>
    <w:rsid w:val="006D1912"/>
    <w:rsid w:val="006D1A2B"/>
    <w:rsid w:val="006D20B0"/>
    <w:rsid w:val="006D2754"/>
    <w:rsid w:val="006D275D"/>
    <w:rsid w:val="006D43D3"/>
    <w:rsid w:val="006D4925"/>
    <w:rsid w:val="006D4F8F"/>
    <w:rsid w:val="006D5982"/>
    <w:rsid w:val="006D5E8D"/>
    <w:rsid w:val="006D5F86"/>
    <w:rsid w:val="006D6023"/>
    <w:rsid w:val="006D773D"/>
    <w:rsid w:val="006D77BE"/>
    <w:rsid w:val="006D7F35"/>
    <w:rsid w:val="006E126C"/>
    <w:rsid w:val="006E1738"/>
    <w:rsid w:val="006E3226"/>
    <w:rsid w:val="006E322D"/>
    <w:rsid w:val="006E39C5"/>
    <w:rsid w:val="006E50D3"/>
    <w:rsid w:val="006E52F6"/>
    <w:rsid w:val="006F014A"/>
    <w:rsid w:val="006F0EFF"/>
    <w:rsid w:val="006F16D5"/>
    <w:rsid w:val="006F16F3"/>
    <w:rsid w:val="006F1CEA"/>
    <w:rsid w:val="006F2318"/>
    <w:rsid w:val="006F2A7D"/>
    <w:rsid w:val="006F322B"/>
    <w:rsid w:val="006F3905"/>
    <w:rsid w:val="006F391E"/>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FA0"/>
    <w:rsid w:val="00704C17"/>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DD"/>
    <w:rsid w:val="00716DBD"/>
    <w:rsid w:val="00717130"/>
    <w:rsid w:val="00717461"/>
    <w:rsid w:val="00717710"/>
    <w:rsid w:val="0072060C"/>
    <w:rsid w:val="00720D77"/>
    <w:rsid w:val="00720FA0"/>
    <w:rsid w:val="007227E3"/>
    <w:rsid w:val="00722E3B"/>
    <w:rsid w:val="0072398B"/>
    <w:rsid w:val="00723A08"/>
    <w:rsid w:val="007243C1"/>
    <w:rsid w:val="00724F2E"/>
    <w:rsid w:val="00725433"/>
    <w:rsid w:val="007266A5"/>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151"/>
    <w:rsid w:val="00742D40"/>
    <w:rsid w:val="00742E14"/>
    <w:rsid w:val="00743466"/>
    <w:rsid w:val="00743680"/>
    <w:rsid w:val="00743759"/>
    <w:rsid w:val="00744152"/>
    <w:rsid w:val="00744585"/>
    <w:rsid w:val="007450A5"/>
    <w:rsid w:val="007453E4"/>
    <w:rsid w:val="00745BF1"/>
    <w:rsid w:val="00746369"/>
    <w:rsid w:val="00746F3A"/>
    <w:rsid w:val="00747DFB"/>
    <w:rsid w:val="00747E4D"/>
    <w:rsid w:val="00750CD5"/>
    <w:rsid w:val="00751D4E"/>
    <w:rsid w:val="00752483"/>
    <w:rsid w:val="007529F4"/>
    <w:rsid w:val="00752B05"/>
    <w:rsid w:val="00752FA3"/>
    <w:rsid w:val="00753E04"/>
    <w:rsid w:val="00754110"/>
    <w:rsid w:val="00754A1A"/>
    <w:rsid w:val="007555EC"/>
    <w:rsid w:val="0075665C"/>
    <w:rsid w:val="007566D0"/>
    <w:rsid w:val="00756827"/>
    <w:rsid w:val="00756ABA"/>
    <w:rsid w:val="00760C8C"/>
    <w:rsid w:val="00761753"/>
    <w:rsid w:val="00762352"/>
    <w:rsid w:val="00762BBD"/>
    <w:rsid w:val="007637D6"/>
    <w:rsid w:val="00764625"/>
    <w:rsid w:val="00764FE1"/>
    <w:rsid w:val="0076577B"/>
    <w:rsid w:val="00765C47"/>
    <w:rsid w:val="00767A2B"/>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908"/>
    <w:rsid w:val="00782B5F"/>
    <w:rsid w:val="00783062"/>
    <w:rsid w:val="0078491F"/>
    <w:rsid w:val="00784AAF"/>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46BF"/>
    <w:rsid w:val="007B5842"/>
    <w:rsid w:val="007B6D8E"/>
    <w:rsid w:val="007B7ACE"/>
    <w:rsid w:val="007B7B8F"/>
    <w:rsid w:val="007C08C2"/>
    <w:rsid w:val="007C0DC7"/>
    <w:rsid w:val="007C139C"/>
    <w:rsid w:val="007C1A22"/>
    <w:rsid w:val="007C1AC4"/>
    <w:rsid w:val="007C1FC9"/>
    <w:rsid w:val="007C2607"/>
    <w:rsid w:val="007C2A9F"/>
    <w:rsid w:val="007C3268"/>
    <w:rsid w:val="007C32E1"/>
    <w:rsid w:val="007C364C"/>
    <w:rsid w:val="007C3ED8"/>
    <w:rsid w:val="007C4262"/>
    <w:rsid w:val="007C454A"/>
    <w:rsid w:val="007C5CB2"/>
    <w:rsid w:val="007D12EA"/>
    <w:rsid w:val="007D1548"/>
    <w:rsid w:val="007D2CBD"/>
    <w:rsid w:val="007D374D"/>
    <w:rsid w:val="007D41F8"/>
    <w:rsid w:val="007D527A"/>
    <w:rsid w:val="007D6635"/>
    <w:rsid w:val="007D798F"/>
    <w:rsid w:val="007D7A3B"/>
    <w:rsid w:val="007E0FCC"/>
    <w:rsid w:val="007E14EE"/>
    <w:rsid w:val="007E173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393"/>
    <w:rsid w:val="007F3BA1"/>
    <w:rsid w:val="007F3FCB"/>
    <w:rsid w:val="007F41FD"/>
    <w:rsid w:val="007F44DE"/>
    <w:rsid w:val="007F4671"/>
    <w:rsid w:val="007F55E8"/>
    <w:rsid w:val="007F6192"/>
    <w:rsid w:val="007F63D9"/>
    <w:rsid w:val="007F6AFF"/>
    <w:rsid w:val="008005A1"/>
    <w:rsid w:val="0080086C"/>
    <w:rsid w:val="008012B6"/>
    <w:rsid w:val="00802016"/>
    <w:rsid w:val="00803AC9"/>
    <w:rsid w:val="00803FBB"/>
    <w:rsid w:val="00804222"/>
    <w:rsid w:val="0080439F"/>
    <w:rsid w:val="008043A8"/>
    <w:rsid w:val="00804BFA"/>
    <w:rsid w:val="00805DD3"/>
    <w:rsid w:val="00807DB1"/>
    <w:rsid w:val="008108AC"/>
    <w:rsid w:val="008115FD"/>
    <w:rsid w:val="00811A99"/>
    <w:rsid w:val="008124D7"/>
    <w:rsid w:val="0081430E"/>
    <w:rsid w:val="00814341"/>
    <w:rsid w:val="00814758"/>
    <w:rsid w:val="008149EF"/>
    <w:rsid w:val="00815A6D"/>
    <w:rsid w:val="00815E41"/>
    <w:rsid w:val="00815F2C"/>
    <w:rsid w:val="0081611B"/>
    <w:rsid w:val="008203B4"/>
    <w:rsid w:val="008221C1"/>
    <w:rsid w:val="00822D9C"/>
    <w:rsid w:val="0082342F"/>
    <w:rsid w:val="0082346B"/>
    <w:rsid w:val="00823672"/>
    <w:rsid w:val="00824331"/>
    <w:rsid w:val="008244BD"/>
    <w:rsid w:val="0082560D"/>
    <w:rsid w:val="008256F5"/>
    <w:rsid w:val="0082574D"/>
    <w:rsid w:val="00826A26"/>
    <w:rsid w:val="00826D36"/>
    <w:rsid w:val="0082735C"/>
    <w:rsid w:val="008277E7"/>
    <w:rsid w:val="00827B5E"/>
    <w:rsid w:val="00827EE7"/>
    <w:rsid w:val="00827F81"/>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279D"/>
    <w:rsid w:val="00843E0F"/>
    <w:rsid w:val="00845096"/>
    <w:rsid w:val="00846393"/>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FBA"/>
    <w:rsid w:val="008901AF"/>
    <w:rsid w:val="00890E92"/>
    <w:rsid w:val="00890FCA"/>
    <w:rsid w:val="0089101A"/>
    <w:rsid w:val="00891027"/>
    <w:rsid w:val="008911DD"/>
    <w:rsid w:val="00891CEE"/>
    <w:rsid w:val="00891EAC"/>
    <w:rsid w:val="008942E7"/>
    <w:rsid w:val="00894456"/>
    <w:rsid w:val="0089571C"/>
    <w:rsid w:val="00896860"/>
    <w:rsid w:val="00897286"/>
    <w:rsid w:val="008974C3"/>
    <w:rsid w:val="00897554"/>
    <w:rsid w:val="008A0549"/>
    <w:rsid w:val="008A0798"/>
    <w:rsid w:val="008A11B1"/>
    <w:rsid w:val="008A1C07"/>
    <w:rsid w:val="008A28C4"/>
    <w:rsid w:val="008A290D"/>
    <w:rsid w:val="008A29C2"/>
    <w:rsid w:val="008A41E6"/>
    <w:rsid w:val="008A4FF2"/>
    <w:rsid w:val="008A517B"/>
    <w:rsid w:val="008A54C8"/>
    <w:rsid w:val="008A5873"/>
    <w:rsid w:val="008A663E"/>
    <w:rsid w:val="008A71D0"/>
    <w:rsid w:val="008A78AA"/>
    <w:rsid w:val="008B048F"/>
    <w:rsid w:val="008B0C67"/>
    <w:rsid w:val="008B1088"/>
    <w:rsid w:val="008B2127"/>
    <w:rsid w:val="008B230F"/>
    <w:rsid w:val="008B3094"/>
    <w:rsid w:val="008B3135"/>
    <w:rsid w:val="008B3495"/>
    <w:rsid w:val="008B3D40"/>
    <w:rsid w:val="008B60E2"/>
    <w:rsid w:val="008B741E"/>
    <w:rsid w:val="008B7475"/>
    <w:rsid w:val="008B7DBD"/>
    <w:rsid w:val="008B7DF5"/>
    <w:rsid w:val="008B7FDF"/>
    <w:rsid w:val="008C023C"/>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349"/>
    <w:rsid w:val="008D3482"/>
    <w:rsid w:val="008D369E"/>
    <w:rsid w:val="008D433F"/>
    <w:rsid w:val="008D559F"/>
    <w:rsid w:val="008D619C"/>
    <w:rsid w:val="008D66A2"/>
    <w:rsid w:val="008D78A8"/>
    <w:rsid w:val="008E135E"/>
    <w:rsid w:val="008E16F9"/>
    <w:rsid w:val="008E1C65"/>
    <w:rsid w:val="008E2491"/>
    <w:rsid w:val="008E2621"/>
    <w:rsid w:val="008E3889"/>
    <w:rsid w:val="008E3C49"/>
    <w:rsid w:val="008E452B"/>
    <w:rsid w:val="008E4F28"/>
    <w:rsid w:val="008E5E4F"/>
    <w:rsid w:val="008E6320"/>
    <w:rsid w:val="008E67B7"/>
    <w:rsid w:val="008E7B96"/>
    <w:rsid w:val="008F0291"/>
    <w:rsid w:val="008F04FB"/>
    <w:rsid w:val="008F1F71"/>
    <w:rsid w:val="008F221D"/>
    <w:rsid w:val="008F2CE2"/>
    <w:rsid w:val="008F3DDD"/>
    <w:rsid w:val="008F4918"/>
    <w:rsid w:val="008F4F89"/>
    <w:rsid w:val="008F532E"/>
    <w:rsid w:val="008F5DB7"/>
    <w:rsid w:val="008F63B5"/>
    <w:rsid w:val="008F7ACA"/>
    <w:rsid w:val="009000CE"/>
    <w:rsid w:val="009007EE"/>
    <w:rsid w:val="00902308"/>
    <w:rsid w:val="009026F3"/>
    <w:rsid w:val="00902837"/>
    <w:rsid w:val="00903182"/>
    <w:rsid w:val="0090340B"/>
    <w:rsid w:val="00903774"/>
    <w:rsid w:val="0090384F"/>
    <w:rsid w:val="00903F23"/>
    <w:rsid w:val="00904932"/>
    <w:rsid w:val="00904E40"/>
    <w:rsid w:val="00905291"/>
    <w:rsid w:val="00905F26"/>
    <w:rsid w:val="00907A9B"/>
    <w:rsid w:val="009102B5"/>
    <w:rsid w:val="00910610"/>
    <w:rsid w:val="00911005"/>
    <w:rsid w:val="00911671"/>
    <w:rsid w:val="009116F0"/>
    <w:rsid w:val="00911700"/>
    <w:rsid w:val="009117F0"/>
    <w:rsid w:val="00911BA2"/>
    <w:rsid w:val="00911E06"/>
    <w:rsid w:val="00911F8E"/>
    <w:rsid w:val="00912B1B"/>
    <w:rsid w:val="00914D48"/>
    <w:rsid w:val="00915491"/>
    <w:rsid w:val="00915D46"/>
    <w:rsid w:val="009170DE"/>
    <w:rsid w:val="009172F2"/>
    <w:rsid w:val="00917FC3"/>
    <w:rsid w:val="00920AEA"/>
    <w:rsid w:val="00921339"/>
    <w:rsid w:val="00921F40"/>
    <w:rsid w:val="009228C1"/>
    <w:rsid w:val="00923F2E"/>
    <w:rsid w:val="00924DCE"/>
    <w:rsid w:val="009255E5"/>
    <w:rsid w:val="00925847"/>
    <w:rsid w:val="00926667"/>
    <w:rsid w:val="00927F90"/>
    <w:rsid w:val="00930011"/>
    <w:rsid w:val="009305F8"/>
    <w:rsid w:val="00930BAA"/>
    <w:rsid w:val="00930D2A"/>
    <w:rsid w:val="009331EF"/>
    <w:rsid w:val="009333BB"/>
    <w:rsid w:val="0093373D"/>
    <w:rsid w:val="0093456C"/>
    <w:rsid w:val="0093462D"/>
    <w:rsid w:val="00934778"/>
    <w:rsid w:val="0093491D"/>
    <w:rsid w:val="009356C1"/>
    <w:rsid w:val="00935B33"/>
    <w:rsid w:val="009415EB"/>
    <w:rsid w:val="00941BB7"/>
    <w:rsid w:val="009437E9"/>
    <w:rsid w:val="00943A67"/>
    <w:rsid w:val="00943BB1"/>
    <w:rsid w:val="00943EFA"/>
    <w:rsid w:val="00944FB4"/>
    <w:rsid w:val="0094630D"/>
    <w:rsid w:val="0094735E"/>
    <w:rsid w:val="0094743F"/>
    <w:rsid w:val="00947C07"/>
    <w:rsid w:val="00950161"/>
    <w:rsid w:val="00950382"/>
    <w:rsid w:val="00951443"/>
    <w:rsid w:val="0095159B"/>
    <w:rsid w:val="00951A0A"/>
    <w:rsid w:val="00951DA5"/>
    <w:rsid w:val="00952078"/>
    <w:rsid w:val="00952282"/>
    <w:rsid w:val="009526B8"/>
    <w:rsid w:val="00953446"/>
    <w:rsid w:val="009534CC"/>
    <w:rsid w:val="00953CA5"/>
    <w:rsid w:val="00954742"/>
    <w:rsid w:val="0095537B"/>
    <w:rsid w:val="009553C6"/>
    <w:rsid w:val="00955F2D"/>
    <w:rsid w:val="00956341"/>
    <w:rsid w:val="009566FF"/>
    <w:rsid w:val="00956F82"/>
    <w:rsid w:val="0095745C"/>
    <w:rsid w:val="00960CD0"/>
    <w:rsid w:val="00960F94"/>
    <w:rsid w:val="009611F2"/>
    <w:rsid w:val="00961E1B"/>
    <w:rsid w:val="009635E7"/>
    <w:rsid w:val="00963870"/>
    <w:rsid w:val="00963E16"/>
    <w:rsid w:val="00964467"/>
    <w:rsid w:val="00965010"/>
    <w:rsid w:val="00965C96"/>
    <w:rsid w:val="00965F4F"/>
    <w:rsid w:val="00966D46"/>
    <w:rsid w:val="009678F5"/>
    <w:rsid w:val="00967D30"/>
    <w:rsid w:val="00970341"/>
    <w:rsid w:val="009706B2"/>
    <w:rsid w:val="0097078D"/>
    <w:rsid w:val="009709BF"/>
    <w:rsid w:val="00972124"/>
    <w:rsid w:val="00972442"/>
    <w:rsid w:val="00974B9D"/>
    <w:rsid w:val="009754A0"/>
    <w:rsid w:val="00975876"/>
    <w:rsid w:val="00975A3C"/>
    <w:rsid w:val="00976350"/>
    <w:rsid w:val="0097671A"/>
    <w:rsid w:val="009774B8"/>
    <w:rsid w:val="00977B85"/>
    <w:rsid w:val="0098003F"/>
    <w:rsid w:val="00980064"/>
    <w:rsid w:val="00980810"/>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510"/>
    <w:rsid w:val="00997807"/>
    <w:rsid w:val="00997B72"/>
    <w:rsid w:val="009A0216"/>
    <w:rsid w:val="009A02AB"/>
    <w:rsid w:val="009A0C0A"/>
    <w:rsid w:val="009A1058"/>
    <w:rsid w:val="009A157A"/>
    <w:rsid w:val="009A2965"/>
    <w:rsid w:val="009A3621"/>
    <w:rsid w:val="009A37D2"/>
    <w:rsid w:val="009A3EAF"/>
    <w:rsid w:val="009A49C9"/>
    <w:rsid w:val="009A4BAC"/>
    <w:rsid w:val="009A5641"/>
    <w:rsid w:val="009A5F4B"/>
    <w:rsid w:val="009A70E0"/>
    <w:rsid w:val="009A73FF"/>
    <w:rsid w:val="009B013E"/>
    <w:rsid w:val="009B0853"/>
    <w:rsid w:val="009B26D1"/>
    <w:rsid w:val="009B2EB4"/>
    <w:rsid w:val="009B4FDA"/>
    <w:rsid w:val="009B5DB6"/>
    <w:rsid w:val="009B6005"/>
    <w:rsid w:val="009B6586"/>
    <w:rsid w:val="009B6C2A"/>
    <w:rsid w:val="009B739A"/>
    <w:rsid w:val="009C0E2A"/>
    <w:rsid w:val="009C1D42"/>
    <w:rsid w:val="009C2256"/>
    <w:rsid w:val="009C2B83"/>
    <w:rsid w:val="009C4033"/>
    <w:rsid w:val="009C5632"/>
    <w:rsid w:val="009C60CE"/>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CC2"/>
    <w:rsid w:val="009E4023"/>
    <w:rsid w:val="009E43D9"/>
    <w:rsid w:val="009E44CB"/>
    <w:rsid w:val="009E50A6"/>
    <w:rsid w:val="009E58E6"/>
    <w:rsid w:val="009E7157"/>
    <w:rsid w:val="009F181B"/>
    <w:rsid w:val="009F1D24"/>
    <w:rsid w:val="009F23BB"/>
    <w:rsid w:val="009F3208"/>
    <w:rsid w:val="009F348B"/>
    <w:rsid w:val="009F37D6"/>
    <w:rsid w:val="009F3F0F"/>
    <w:rsid w:val="009F4106"/>
    <w:rsid w:val="009F415D"/>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548"/>
    <w:rsid w:val="00A10714"/>
    <w:rsid w:val="00A111ED"/>
    <w:rsid w:val="00A117F6"/>
    <w:rsid w:val="00A120BC"/>
    <w:rsid w:val="00A12278"/>
    <w:rsid w:val="00A12638"/>
    <w:rsid w:val="00A13A83"/>
    <w:rsid w:val="00A13CE1"/>
    <w:rsid w:val="00A13E00"/>
    <w:rsid w:val="00A14932"/>
    <w:rsid w:val="00A1498C"/>
    <w:rsid w:val="00A14B29"/>
    <w:rsid w:val="00A1628F"/>
    <w:rsid w:val="00A163A2"/>
    <w:rsid w:val="00A16C89"/>
    <w:rsid w:val="00A171A9"/>
    <w:rsid w:val="00A17B7C"/>
    <w:rsid w:val="00A20096"/>
    <w:rsid w:val="00A20642"/>
    <w:rsid w:val="00A20643"/>
    <w:rsid w:val="00A217D2"/>
    <w:rsid w:val="00A21EF8"/>
    <w:rsid w:val="00A22677"/>
    <w:rsid w:val="00A23384"/>
    <w:rsid w:val="00A241E8"/>
    <w:rsid w:val="00A24479"/>
    <w:rsid w:val="00A255FA"/>
    <w:rsid w:val="00A26AB9"/>
    <w:rsid w:val="00A26EB1"/>
    <w:rsid w:val="00A27325"/>
    <w:rsid w:val="00A2772B"/>
    <w:rsid w:val="00A3031B"/>
    <w:rsid w:val="00A3056B"/>
    <w:rsid w:val="00A30602"/>
    <w:rsid w:val="00A31439"/>
    <w:rsid w:val="00A31F80"/>
    <w:rsid w:val="00A327A7"/>
    <w:rsid w:val="00A32D79"/>
    <w:rsid w:val="00A33203"/>
    <w:rsid w:val="00A33C81"/>
    <w:rsid w:val="00A3455E"/>
    <w:rsid w:val="00A3674D"/>
    <w:rsid w:val="00A36770"/>
    <w:rsid w:val="00A37025"/>
    <w:rsid w:val="00A4096D"/>
    <w:rsid w:val="00A40EE1"/>
    <w:rsid w:val="00A40EE2"/>
    <w:rsid w:val="00A42D29"/>
    <w:rsid w:val="00A430B5"/>
    <w:rsid w:val="00A46D6B"/>
    <w:rsid w:val="00A47064"/>
    <w:rsid w:val="00A47616"/>
    <w:rsid w:val="00A47C7A"/>
    <w:rsid w:val="00A50F85"/>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E3A"/>
    <w:rsid w:val="00A66738"/>
    <w:rsid w:val="00A6688C"/>
    <w:rsid w:val="00A67B22"/>
    <w:rsid w:val="00A67CEE"/>
    <w:rsid w:val="00A70663"/>
    <w:rsid w:val="00A7106F"/>
    <w:rsid w:val="00A71F5F"/>
    <w:rsid w:val="00A725EA"/>
    <w:rsid w:val="00A73E5C"/>
    <w:rsid w:val="00A741CC"/>
    <w:rsid w:val="00A74AAC"/>
    <w:rsid w:val="00A74C59"/>
    <w:rsid w:val="00A761EF"/>
    <w:rsid w:val="00A76B10"/>
    <w:rsid w:val="00A801EB"/>
    <w:rsid w:val="00A80FEB"/>
    <w:rsid w:val="00A81191"/>
    <w:rsid w:val="00A813AC"/>
    <w:rsid w:val="00A813DA"/>
    <w:rsid w:val="00A850D2"/>
    <w:rsid w:val="00A85B3D"/>
    <w:rsid w:val="00A85B6E"/>
    <w:rsid w:val="00A863D5"/>
    <w:rsid w:val="00A86C9C"/>
    <w:rsid w:val="00A86E16"/>
    <w:rsid w:val="00A8716C"/>
    <w:rsid w:val="00A87560"/>
    <w:rsid w:val="00A87DE5"/>
    <w:rsid w:val="00A87E71"/>
    <w:rsid w:val="00A9009F"/>
    <w:rsid w:val="00A90364"/>
    <w:rsid w:val="00A90581"/>
    <w:rsid w:val="00A91940"/>
    <w:rsid w:val="00A91AFF"/>
    <w:rsid w:val="00A9216B"/>
    <w:rsid w:val="00A9217C"/>
    <w:rsid w:val="00A92650"/>
    <w:rsid w:val="00A928D3"/>
    <w:rsid w:val="00A92F94"/>
    <w:rsid w:val="00A93979"/>
    <w:rsid w:val="00A94C55"/>
    <w:rsid w:val="00A95533"/>
    <w:rsid w:val="00A95CF9"/>
    <w:rsid w:val="00A966A5"/>
    <w:rsid w:val="00A96A21"/>
    <w:rsid w:val="00A96CE2"/>
    <w:rsid w:val="00A97229"/>
    <w:rsid w:val="00A9742C"/>
    <w:rsid w:val="00AA010F"/>
    <w:rsid w:val="00AA07A0"/>
    <w:rsid w:val="00AA0C6C"/>
    <w:rsid w:val="00AA0F67"/>
    <w:rsid w:val="00AA1A12"/>
    <w:rsid w:val="00AA2BB8"/>
    <w:rsid w:val="00AA3463"/>
    <w:rsid w:val="00AA3769"/>
    <w:rsid w:val="00AA3A28"/>
    <w:rsid w:val="00AA5D23"/>
    <w:rsid w:val="00AA67C0"/>
    <w:rsid w:val="00AA76F1"/>
    <w:rsid w:val="00AB01E2"/>
    <w:rsid w:val="00AB0431"/>
    <w:rsid w:val="00AB08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489"/>
    <w:rsid w:val="00AC0646"/>
    <w:rsid w:val="00AC1418"/>
    <w:rsid w:val="00AC161E"/>
    <w:rsid w:val="00AC2111"/>
    <w:rsid w:val="00AC23D5"/>
    <w:rsid w:val="00AC2D23"/>
    <w:rsid w:val="00AC41BF"/>
    <w:rsid w:val="00AC5429"/>
    <w:rsid w:val="00AC5922"/>
    <w:rsid w:val="00AC5AB3"/>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4A6"/>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30A"/>
    <w:rsid w:val="00AF2A54"/>
    <w:rsid w:val="00AF2D63"/>
    <w:rsid w:val="00AF7190"/>
    <w:rsid w:val="00AF73DB"/>
    <w:rsid w:val="00B0123F"/>
    <w:rsid w:val="00B01334"/>
    <w:rsid w:val="00B01CEA"/>
    <w:rsid w:val="00B02670"/>
    <w:rsid w:val="00B02904"/>
    <w:rsid w:val="00B032DE"/>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5367"/>
    <w:rsid w:val="00B155D4"/>
    <w:rsid w:val="00B1599B"/>
    <w:rsid w:val="00B15FA1"/>
    <w:rsid w:val="00B20541"/>
    <w:rsid w:val="00B20856"/>
    <w:rsid w:val="00B20988"/>
    <w:rsid w:val="00B20D5E"/>
    <w:rsid w:val="00B22C72"/>
    <w:rsid w:val="00B2300A"/>
    <w:rsid w:val="00B2403F"/>
    <w:rsid w:val="00B240EA"/>
    <w:rsid w:val="00B24CA0"/>
    <w:rsid w:val="00B25161"/>
    <w:rsid w:val="00B25A9D"/>
    <w:rsid w:val="00B268B5"/>
    <w:rsid w:val="00B273D9"/>
    <w:rsid w:val="00B2754C"/>
    <w:rsid w:val="00B27BA5"/>
    <w:rsid w:val="00B312CC"/>
    <w:rsid w:val="00B33BA6"/>
    <w:rsid w:val="00B3462E"/>
    <w:rsid w:val="00B3489D"/>
    <w:rsid w:val="00B348A7"/>
    <w:rsid w:val="00B34D52"/>
    <w:rsid w:val="00B35A85"/>
    <w:rsid w:val="00B36ECA"/>
    <w:rsid w:val="00B37A83"/>
    <w:rsid w:val="00B37D47"/>
    <w:rsid w:val="00B40046"/>
    <w:rsid w:val="00B40185"/>
    <w:rsid w:val="00B408EE"/>
    <w:rsid w:val="00B409C3"/>
    <w:rsid w:val="00B40AB5"/>
    <w:rsid w:val="00B438CD"/>
    <w:rsid w:val="00B43A02"/>
    <w:rsid w:val="00B43B37"/>
    <w:rsid w:val="00B4459F"/>
    <w:rsid w:val="00B453D5"/>
    <w:rsid w:val="00B455C9"/>
    <w:rsid w:val="00B45AFC"/>
    <w:rsid w:val="00B46259"/>
    <w:rsid w:val="00B4665F"/>
    <w:rsid w:val="00B46857"/>
    <w:rsid w:val="00B505CD"/>
    <w:rsid w:val="00B50A83"/>
    <w:rsid w:val="00B50F8A"/>
    <w:rsid w:val="00B51029"/>
    <w:rsid w:val="00B5154D"/>
    <w:rsid w:val="00B51C5C"/>
    <w:rsid w:val="00B5224F"/>
    <w:rsid w:val="00B5226C"/>
    <w:rsid w:val="00B54491"/>
    <w:rsid w:val="00B54E6C"/>
    <w:rsid w:val="00B55A87"/>
    <w:rsid w:val="00B55C3D"/>
    <w:rsid w:val="00B56D0B"/>
    <w:rsid w:val="00B5712D"/>
    <w:rsid w:val="00B5766A"/>
    <w:rsid w:val="00B57976"/>
    <w:rsid w:val="00B605F5"/>
    <w:rsid w:val="00B60990"/>
    <w:rsid w:val="00B609A4"/>
    <w:rsid w:val="00B61551"/>
    <w:rsid w:val="00B61941"/>
    <w:rsid w:val="00B61DC4"/>
    <w:rsid w:val="00B63617"/>
    <w:rsid w:val="00B659D3"/>
    <w:rsid w:val="00B666CF"/>
    <w:rsid w:val="00B670DF"/>
    <w:rsid w:val="00B67B96"/>
    <w:rsid w:val="00B67BA4"/>
    <w:rsid w:val="00B67F4C"/>
    <w:rsid w:val="00B709CA"/>
    <w:rsid w:val="00B70C7F"/>
    <w:rsid w:val="00B717AA"/>
    <w:rsid w:val="00B71866"/>
    <w:rsid w:val="00B71C5E"/>
    <w:rsid w:val="00B7212B"/>
    <w:rsid w:val="00B72189"/>
    <w:rsid w:val="00B72CF0"/>
    <w:rsid w:val="00B73BA4"/>
    <w:rsid w:val="00B73FC4"/>
    <w:rsid w:val="00B771D7"/>
    <w:rsid w:val="00B801B2"/>
    <w:rsid w:val="00B80BA1"/>
    <w:rsid w:val="00B8277D"/>
    <w:rsid w:val="00B83214"/>
    <w:rsid w:val="00B83404"/>
    <w:rsid w:val="00B842B5"/>
    <w:rsid w:val="00B8475D"/>
    <w:rsid w:val="00B84C5D"/>
    <w:rsid w:val="00B85251"/>
    <w:rsid w:val="00B853CC"/>
    <w:rsid w:val="00B8661E"/>
    <w:rsid w:val="00B86927"/>
    <w:rsid w:val="00B86B6B"/>
    <w:rsid w:val="00B86B8B"/>
    <w:rsid w:val="00B86E84"/>
    <w:rsid w:val="00B86E85"/>
    <w:rsid w:val="00B872D1"/>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5482"/>
    <w:rsid w:val="00BA55AE"/>
    <w:rsid w:val="00BA57AA"/>
    <w:rsid w:val="00BA59DD"/>
    <w:rsid w:val="00BA6992"/>
    <w:rsid w:val="00BB07A1"/>
    <w:rsid w:val="00BB0ACE"/>
    <w:rsid w:val="00BB0D13"/>
    <w:rsid w:val="00BB1AA6"/>
    <w:rsid w:val="00BB2AAF"/>
    <w:rsid w:val="00BB32F3"/>
    <w:rsid w:val="00BB45A2"/>
    <w:rsid w:val="00BB4AAB"/>
    <w:rsid w:val="00BB54E7"/>
    <w:rsid w:val="00BB6859"/>
    <w:rsid w:val="00BB6EA4"/>
    <w:rsid w:val="00BB78B5"/>
    <w:rsid w:val="00BB7A07"/>
    <w:rsid w:val="00BC060A"/>
    <w:rsid w:val="00BC0656"/>
    <w:rsid w:val="00BC08DD"/>
    <w:rsid w:val="00BC0C42"/>
    <w:rsid w:val="00BC114A"/>
    <w:rsid w:val="00BC1F7F"/>
    <w:rsid w:val="00BC2EF9"/>
    <w:rsid w:val="00BC3A91"/>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2F38"/>
    <w:rsid w:val="00BE326C"/>
    <w:rsid w:val="00BE4067"/>
    <w:rsid w:val="00BE571C"/>
    <w:rsid w:val="00BE6D35"/>
    <w:rsid w:val="00BE7036"/>
    <w:rsid w:val="00BE7103"/>
    <w:rsid w:val="00BE7A42"/>
    <w:rsid w:val="00BE7B1A"/>
    <w:rsid w:val="00BF006D"/>
    <w:rsid w:val="00BF00F3"/>
    <w:rsid w:val="00BF04FB"/>
    <w:rsid w:val="00BF0CF7"/>
    <w:rsid w:val="00BF1393"/>
    <w:rsid w:val="00BF2D9E"/>
    <w:rsid w:val="00BF3511"/>
    <w:rsid w:val="00BF3AB4"/>
    <w:rsid w:val="00BF4187"/>
    <w:rsid w:val="00BF45F7"/>
    <w:rsid w:val="00BF4652"/>
    <w:rsid w:val="00BF5B8F"/>
    <w:rsid w:val="00BF5EAB"/>
    <w:rsid w:val="00BF7CAB"/>
    <w:rsid w:val="00BF7D80"/>
    <w:rsid w:val="00C0025D"/>
    <w:rsid w:val="00C00467"/>
    <w:rsid w:val="00C010E4"/>
    <w:rsid w:val="00C01C38"/>
    <w:rsid w:val="00C02692"/>
    <w:rsid w:val="00C02EB9"/>
    <w:rsid w:val="00C02F12"/>
    <w:rsid w:val="00C02FF5"/>
    <w:rsid w:val="00C03CB4"/>
    <w:rsid w:val="00C03EC6"/>
    <w:rsid w:val="00C041AB"/>
    <w:rsid w:val="00C05F32"/>
    <w:rsid w:val="00C06B8F"/>
    <w:rsid w:val="00C07084"/>
    <w:rsid w:val="00C07AB1"/>
    <w:rsid w:val="00C10A6D"/>
    <w:rsid w:val="00C11043"/>
    <w:rsid w:val="00C11E87"/>
    <w:rsid w:val="00C12079"/>
    <w:rsid w:val="00C12403"/>
    <w:rsid w:val="00C12AD6"/>
    <w:rsid w:val="00C13FB5"/>
    <w:rsid w:val="00C146B3"/>
    <w:rsid w:val="00C149D9"/>
    <w:rsid w:val="00C14BC7"/>
    <w:rsid w:val="00C14F43"/>
    <w:rsid w:val="00C15786"/>
    <w:rsid w:val="00C1714A"/>
    <w:rsid w:val="00C17A3B"/>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32B5"/>
    <w:rsid w:val="00C334F4"/>
    <w:rsid w:val="00C3392D"/>
    <w:rsid w:val="00C3396A"/>
    <w:rsid w:val="00C33ED6"/>
    <w:rsid w:val="00C3454D"/>
    <w:rsid w:val="00C3681D"/>
    <w:rsid w:val="00C369E6"/>
    <w:rsid w:val="00C36C23"/>
    <w:rsid w:val="00C375EA"/>
    <w:rsid w:val="00C408F8"/>
    <w:rsid w:val="00C40904"/>
    <w:rsid w:val="00C410ED"/>
    <w:rsid w:val="00C43AD8"/>
    <w:rsid w:val="00C453F5"/>
    <w:rsid w:val="00C463E3"/>
    <w:rsid w:val="00C469A5"/>
    <w:rsid w:val="00C47352"/>
    <w:rsid w:val="00C476A6"/>
    <w:rsid w:val="00C47E1D"/>
    <w:rsid w:val="00C510C6"/>
    <w:rsid w:val="00C519FB"/>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5558"/>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421D"/>
    <w:rsid w:val="00C843AF"/>
    <w:rsid w:val="00C84957"/>
    <w:rsid w:val="00C84CC8"/>
    <w:rsid w:val="00C85E4C"/>
    <w:rsid w:val="00C86149"/>
    <w:rsid w:val="00C86F8D"/>
    <w:rsid w:val="00C9207A"/>
    <w:rsid w:val="00C93FA8"/>
    <w:rsid w:val="00C94EBD"/>
    <w:rsid w:val="00C95503"/>
    <w:rsid w:val="00C958EA"/>
    <w:rsid w:val="00C96297"/>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A72"/>
    <w:rsid w:val="00CB0DA3"/>
    <w:rsid w:val="00CB13C6"/>
    <w:rsid w:val="00CB18B4"/>
    <w:rsid w:val="00CB1ED7"/>
    <w:rsid w:val="00CB20E5"/>
    <w:rsid w:val="00CB34A2"/>
    <w:rsid w:val="00CB39E0"/>
    <w:rsid w:val="00CB3A6E"/>
    <w:rsid w:val="00CB50DD"/>
    <w:rsid w:val="00CB5BE6"/>
    <w:rsid w:val="00CB69D6"/>
    <w:rsid w:val="00CB6EE1"/>
    <w:rsid w:val="00CB7DBA"/>
    <w:rsid w:val="00CC00A0"/>
    <w:rsid w:val="00CC1408"/>
    <w:rsid w:val="00CC15AB"/>
    <w:rsid w:val="00CC190A"/>
    <w:rsid w:val="00CC21DE"/>
    <w:rsid w:val="00CC2356"/>
    <w:rsid w:val="00CC3F24"/>
    <w:rsid w:val="00CC3FED"/>
    <w:rsid w:val="00CC415E"/>
    <w:rsid w:val="00CC489E"/>
    <w:rsid w:val="00CC625A"/>
    <w:rsid w:val="00CC634E"/>
    <w:rsid w:val="00CC7263"/>
    <w:rsid w:val="00CC748C"/>
    <w:rsid w:val="00CC7B98"/>
    <w:rsid w:val="00CD0295"/>
    <w:rsid w:val="00CD071F"/>
    <w:rsid w:val="00CD0D03"/>
    <w:rsid w:val="00CD0FBC"/>
    <w:rsid w:val="00CD1148"/>
    <w:rsid w:val="00CD161C"/>
    <w:rsid w:val="00CD3D3A"/>
    <w:rsid w:val="00CD44AE"/>
    <w:rsid w:val="00CD4FE9"/>
    <w:rsid w:val="00CD6106"/>
    <w:rsid w:val="00CD6E4E"/>
    <w:rsid w:val="00CD73D9"/>
    <w:rsid w:val="00CD74B5"/>
    <w:rsid w:val="00CD79C5"/>
    <w:rsid w:val="00CE05AB"/>
    <w:rsid w:val="00CE100C"/>
    <w:rsid w:val="00CE1139"/>
    <w:rsid w:val="00CE1CE8"/>
    <w:rsid w:val="00CE2572"/>
    <w:rsid w:val="00CE25F8"/>
    <w:rsid w:val="00CE28F5"/>
    <w:rsid w:val="00CE2D39"/>
    <w:rsid w:val="00CE5122"/>
    <w:rsid w:val="00CE5A76"/>
    <w:rsid w:val="00CE61F3"/>
    <w:rsid w:val="00CE625C"/>
    <w:rsid w:val="00CE6EF5"/>
    <w:rsid w:val="00CE7219"/>
    <w:rsid w:val="00CE7EB2"/>
    <w:rsid w:val="00CF03E0"/>
    <w:rsid w:val="00CF0A94"/>
    <w:rsid w:val="00CF0AF1"/>
    <w:rsid w:val="00CF1749"/>
    <w:rsid w:val="00CF1E3D"/>
    <w:rsid w:val="00CF2696"/>
    <w:rsid w:val="00CF27C4"/>
    <w:rsid w:val="00CF289A"/>
    <w:rsid w:val="00CF3F95"/>
    <w:rsid w:val="00CF4EC7"/>
    <w:rsid w:val="00CF6299"/>
    <w:rsid w:val="00CF63C0"/>
    <w:rsid w:val="00CF69A7"/>
    <w:rsid w:val="00CF6F94"/>
    <w:rsid w:val="00CF723B"/>
    <w:rsid w:val="00D001D3"/>
    <w:rsid w:val="00D00430"/>
    <w:rsid w:val="00D018D5"/>
    <w:rsid w:val="00D020C1"/>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7E3"/>
    <w:rsid w:val="00D07A59"/>
    <w:rsid w:val="00D07E00"/>
    <w:rsid w:val="00D11A66"/>
    <w:rsid w:val="00D12606"/>
    <w:rsid w:val="00D13146"/>
    <w:rsid w:val="00D131CE"/>
    <w:rsid w:val="00D15AA1"/>
    <w:rsid w:val="00D15B61"/>
    <w:rsid w:val="00D16794"/>
    <w:rsid w:val="00D17FD8"/>
    <w:rsid w:val="00D20529"/>
    <w:rsid w:val="00D20CBF"/>
    <w:rsid w:val="00D21052"/>
    <w:rsid w:val="00D21140"/>
    <w:rsid w:val="00D21EAA"/>
    <w:rsid w:val="00D21F29"/>
    <w:rsid w:val="00D228F8"/>
    <w:rsid w:val="00D22E02"/>
    <w:rsid w:val="00D2417D"/>
    <w:rsid w:val="00D24498"/>
    <w:rsid w:val="00D24615"/>
    <w:rsid w:val="00D24F15"/>
    <w:rsid w:val="00D25CBC"/>
    <w:rsid w:val="00D2679D"/>
    <w:rsid w:val="00D26F6F"/>
    <w:rsid w:val="00D27467"/>
    <w:rsid w:val="00D300B3"/>
    <w:rsid w:val="00D30AF1"/>
    <w:rsid w:val="00D30F33"/>
    <w:rsid w:val="00D31457"/>
    <w:rsid w:val="00D31AB5"/>
    <w:rsid w:val="00D31E59"/>
    <w:rsid w:val="00D32975"/>
    <w:rsid w:val="00D34C54"/>
    <w:rsid w:val="00D34E49"/>
    <w:rsid w:val="00D3555C"/>
    <w:rsid w:val="00D3572A"/>
    <w:rsid w:val="00D35DEE"/>
    <w:rsid w:val="00D37150"/>
    <w:rsid w:val="00D37C0C"/>
    <w:rsid w:val="00D37FA9"/>
    <w:rsid w:val="00D40767"/>
    <w:rsid w:val="00D409A1"/>
    <w:rsid w:val="00D41EAD"/>
    <w:rsid w:val="00D42148"/>
    <w:rsid w:val="00D427E5"/>
    <w:rsid w:val="00D427E8"/>
    <w:rsid w:val="00D43B22"/>
    <w:rsid w:val="00D44066"/>
    <w:rsid w:val="00D449C5"/>
    <w:rsid w:val="00D44E6F"/>
    <w:rsid w:val="00D44E98"/>
    <w:rsid w:val="00D453E5"/>
    <w:rsid w:val="00D45F98"/>
    <w:rsid w:val="00D4643F"/>
    <w:rsid w:val="00D4696A"/>
    <w:rsid w:val="00D4753F"/>
    <w:rsid w:val="00D475FE"/>
    <w:rsid w:val="00D50738"/>
    <w:rsid w:val="00D5103B"/>
    <w:rsid w:val="00D52AE0"/>
    <w:rsid w:val="00D53EE6"/>
    <w:rsid w:val="00D542B8"/>
    <w:rsid w:val="00D558DA"/>
    <w:rsid w:val="00D57298"/>
    <w:rsid w:val="00D57F7D"/>
    <w:rsid w:val="00D60294"/>
    <w:rsid w:val="00D60DDD"/>
    <w:rsid w:val="00D60F1D"/>
    <w:rsid w:val="00D614DB"/>
    <w:rsid w:val="00D62A08"/>
    <w:rsid w:val="00D62BE4"/>
    <w:rsid w:val="00D62DBA"/>
    <w:rsid w:val="00D63102"/>
    <w:rsid w:val="00D647C5"/>
    <w:rsid w:val="00D64954"/>
    <w:rsid w:val="00D6512E"/>
    <w:rsid w:val="00D651D5"/>
    <w:rsid w:val="00D66260"/>
    <w:rsid w:val="00D6658E"/>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028F"/>
    <w:rsid w:val="00DA14A7"/>
    <w:rsid w:val="00DA1AA7"/>
    <w:rsid w:val="00DA2081"/>
    <w:rsid w:val="00DA2B33"/>
    <w:rsid w:val="00DA2BCE"/>
    <w:rsid w:val="00DA3835"/>
    <w:rsid w:val="00DA4761"/>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311B"/>
    <w:rsid w:val="00DD4294"/>
    <w:rsid w:val="00DD5B46"/>
    <w:rsid w:val="00DD6165"/>
    <w:rsid w:val="00DD6663"/>
    <w:rsid w:val="00DD6EB8"/>
    <w:rsid w:val="00DD7917"/>
    <w:rsid w:val="00DE01CB"/>
    <w:rsid w:val="00DE0E25"/>
    <w:rsid w:val="00DE189A"/>
    <w:rsid w:val="00DE328D"/>
    <w:rsid w:val="00DE3B9C"/>
    <w:rsid w:val="00DE5141"/>
    <w:rsid w:val="00DE58A0"/>
    <w:rsid w:val="00DE58DB"/>
    <w:rsid w:val="00DE5B71"/>
    <w:rsid w:val="00DE5B96"/>
    <w:rsid w:val="00DE6DA4"/>
    <w:rsid w:val="00DE73FB"/>
    <w:rsid w:val="00DF073E"/>
    <w:rsid w:val="00DF09CC"/>
    <w:rsid w:val="00DF14E7"/>
    <w:rsid w:val="00DF255B"/>
    <w:rsid w:val="00DF29F1"/>
    <w:rsid w:val="00DF2F4F"/>
    <w:rsid w:val="00DF3846"/>
    <w:rsid w:val="00DF4EB1"/>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457E"/>
    <w:rsid w:val="00E0465B"/>
    <w:rsid w:val="00E049BD"/>
    <w:rsid w:val="00E04A01"/>
    <w:rsid w:val="00E04ECE"/>
    <w:rsid w:val="00E05AE5"/>
    <w:rsid w:val="00E06C1E"/>
    <w:rsid w:val="00E06D3C"/>
    <w:rsid w:val="00E0702C"/>
    <w:rsid w:val="00E07671"/>
    <w:rsid w:val="00E0798F"/>
    <w:rsid w:val="00E102FF"/>
    <w:rsid w:val="00E1124C"/>
    <w:rsid w:val="00E11B8F"/>
    <w:rsid w:val="00E11BB1"/>
    <w:rsid w:val="00E13F29"/>
    <w:rsid w:val="00E16198"/>
    <w:rsid w:val="00E16AB4"/>
    <w:rsid w:val="00E16BAA"/>
    <w:rsid w:val="00E17F49"/>
    <w:rsid w:val="00E20418"/>
    <w:rsid w:val="00E21412"/>
    <w:rsid w:val="00E22486"/>
    <w:rsid w:val="00E22993"/>
    <w:rsid w:val="00E229A0"/>
    <w:rsid w:val="00E230CB"/>
    <w:rsid w:val="00E23D5F"/>
    <w:rsid w:val="00E23E25"/>
    <w:rsid w:val="00E24547"/>
    <w:rsid w:val="00E25577"/>
    <w:rsid w:val="00E257B1"/>
    <w:rsid w:val="00E25AC1"/>
    <w:rsid w:val="00E26920"/>
    <w:rsid w:val="00E27408"/>
    <w:rsid w:val="00E30474"/>
    <w:rsid w:val="00E30972"/>
    <w:rsid w:val="00E30C17"/>
    <w:rsid w:val="00E30D86"/>
    <w:rsid w:val="00E3160B"/>
    <w:rsid w:val="00E31684"/>
    <w:rsid w:val="00E316D5"/>
    <w:rsid w:val="00E31E0B"/>
    <w:rsid w:val="00E32435"/>
    <w:rsid w:val="00E32B9B"/>
    <w:rsid w:val="00E3353E"/>
    <w:rsid w:val="00E3369B"/>
    <w:rsid w:val="00E3423F"/>
    <w:rsid w:val="00E34CDC"/>
    <w:rsid w:val="00E34D8D"/>
    <w:rsid w:val="00E368B4"/>
    <w:rsid w:val="00E37592"/>
    <w:rsid w:val="00E37FDF"/>
    <w:rsid w:val="00E4039F"/>
    <w:rsid w:val="00E415ED"/>
    <w:rsid w:val="00E440C8"/>
    <w:rsid w:val="00E440FE"/>
    <w:rsid w:val="00E444AA"/>
    <w:rsid w:val="00E447C5"/>
    <w:rsid w:val="00E44845"/>
    <w:rsid w:val="00E44DFC"/>
    <w:rsid w:val="00E451B3"/>
    <w:rsid w:val="00E46B43"/>
    <w:rsid w:val="00E46F5E"/>
    <w:rsid w:val="00E470D9"/>
    <w:rsid w:val="00E50124"/>
    <w:rsid w:val="00E50B80"/>
    <w:rsid w:val="00E50C0E"/>
    <w:rsid w:val="00E50D17"/>
    <w:rsid w:val="00E524D8"/>
    <w:rsid w:val="00E52597"/>
    <w:rsid w:val="00E525CB"/>
    <w:rsid w:val="00E52CF6"/>
    <w:rsid w:val="00E535A8"/>
    <w:rsid w:val="00E538FF"/>
    <w:rsid w:val="00E5396D"/>
    <w:rsid w:val="00E539AB"/>
    <w:rsid w:val="00E54407"/>
    <w:rsid w:val="00E55520"/>
    <w:rsid w:val="00E56E48"/>
    <w:rsid w:val="00E5784B"/>
    <w:rsid w:val="00E57C92"/>
    <w:rsid w:val="00E57D33"/>
    <w:rsid w:val="00E6079D"/>
    <w:rsid w:val="00E614E8"/>
    <w:rsid w:val="00E6158C"/>
    <w:rsid w:val="00E6243E"/>
    <w:rsid w:val="00E626FE"/>
    <w:rsid w:val="00E62A8A"/>
    <w:rsid w:val="00E62B92"/>
    <w:rsid w:val="00E6417D"/>
    <w:rsid w:val="00E64945"/>
    <w:rsid w:val="00E66495"/>
    <w:rsid w:val="00E664BA"/>
    <w:rsid w:val="00E67F3E"/>
    <w:rsid w:val="00E700F8"/>
    <w:rsid w:val="00E70266"/>
    <w:rsid w:val="00E702C2"/>
    <w:rsid w:val="00E70C3A"/>
    <w:rsid w:val="00E70F15"/>
    <w:rsid w:val="00E718ED"/>
    <w:rsid w:val="00E7229A"/>
    <w:rsid w:val="00E73CA5"/>
    <w:rsid w:val="00E75248"/>
    <w:rsid w:val="00E75EC1"/>
    <w:rsid w:val="00E76B1A"/>
    <w:rsid w:val="00E7729E"/>
    <w:rsid w:val="00E804F0"/>
    <w:rsid w:val="00E80C37"/>
    <w:rsid w:val="00E8119B"/>
    <w:rsid w:val="00E81924"/>
    <w:rsid w:val="00E81EE2"/>
    <w:rsid w:val="00E82126"/>
    <w:rsid w:val="00E82CA4"/>
    <w:rsid w:val="00E82D58"/>
    <w:rsid w:val="00E84077"/>
    <w:rsid w:val="00E84FF9"/>
    <w:rsid w:val="00E856C3"/>
    <w:rsid w:val="00E866D0"/>
    <w:rsid w:val="00E87031"/>
    <w:rsid w:val="00E872D3"/>
    <w:rsid w:val="00E87790"/>
    <w:rsid w:val="00E878D3"/>
    <w:rsid w:val="00E87D62"/>
    <w:rsid w:val="00E9116A"/>
    <w:rsid w:val="00E91570"/>
    <w:rsid w:val="00E928DD"/>
    <w:rsid w:val="00E93DFE"/>
    <w:rsid w:val="00E949DD"/>
    <w:rsid w:val="00E956A8"/>
    <w:rsid w:val="00E959A2"/>
    <w:rsid w:val="00E95FA9"/>
    <w:rsid w:val="00E9667F"/>
    <w:rsid w:val="00EA0143"/>
    <w:rsid w:val="00EA0390"/>
    <w:rsid w:val="00EA0E22"/>
    <w:rsid w:val="00EA12F7"/>
    <w:rsid w:val="00EA1891"/>
    <w:rsid w:val="00EA2918"/>
    <w:rsid w:val="00EA2984"/>
    <w:rsid w:val="00EA3E48"/>
    <w:rsid w:val="00EA4DAA"/>
    <w:rsid w:val="00EA5A14"/>
    <w:rsid w:val="00EA5BA9"/>
    <w:rsid w:val="00EA60FA"/>
    <w:rsid w:val="00EA65BC"/>
    <w:rsid w:val="00EA6A17"/>
    <w:rsid w:val="00EA7673"/>
    <w:rsid w:val="00EA7BE2"/>
    <w:rsid w:val="00EB0146"/>
    <w:rsid w:val="00EB057F"/>
    <w:rsid w:val="00EB0B26"/>
    <w:rsid w:val="00EB1354"/>
    <w:rsid w:val="00EB2BB1"/>
    <w:rsid w:val="00EB2F6F"/>
    <w:rsid w:val="00EB381C"/>
    <w:rsid w:val="00EB3D43"/>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281"/>
    <w:rsid w:val="00EC5A65"/>
    <w:rsid w:val="00EC5F63"/>
    <w:rsid w:val="00EC619B"/>
    <w:rsid w:val="00EC61AC"/>
    <w:rsid w:val="00EC63A2"/>
    <w:rsid w:val="00ED007C"/>
    <w:rsid w:val="00ED0C6A"/>
    <w:rsid w:val="00ED172B"/>
    <w:rsid w:val="00ED1C49"/>
    <w:rsid w:val="00ED2071"/>
    <w:rsid w:val="00ED272C"/>
    <w:rsid w:val="00ED2DDD"/>
    <w:rsid w:val="00ED3BCC"/>
    <w:rsid w:val="00ED48DA"/>
    <w:rsid w:val="00ED509B"/>
    <w:rsid w:val="00ED55AA"/>
    <w:rsid w:val="00ED6E79"/>
    <w:rsid w:val="00ED712A"/>
    <w:rsid w:val="00ED74EE"/>
    <w:rsid w:val="00ED7D12"/>
    <w:rsid w:val="00EE0221"/>
    <w:rsid w:val="00EE05B7"/>
    <w:rsid w:val="00EE0C65"/>
    <w:rsid w:val="00EE1DD1"/>
    <w:rsid w:val="00EE4E0F"/>
    <w:rsid w:val="00EE50A8"/>
    <w:rsid w:val="00EE58C0"/>
    <w:rsid w:val="00EE6372"/>
    <w:rsid w:val="00EE6F42"/>
    <w:rsid w:val="00EE7144"/>
    <w:rsid w:val="00EE7829"/>
    <w:rsid w:val="00EF09DF"/>
    <w:rsid w:val="00EF1AE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40"/>
    <w:rsid w:val="00F02E8A"/>
    <w:rsid w:val="00F03286"/>
    <w:rsid w:val="00F03E46"/>
    <w:rsid w:val="00F0433A"/>
    <w:rsid w:val="00F046B6"/>
    <w:rsid w:val="00F04F23"/>
    <w:rsid w:val="00F05ED0"/>
    <w:rsid w:val="00F0619B"/>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1D64"/>
    <w:rsid w:val="00F22006"/>
    <w:rsid w:val="00F2262B"/>
    <w:rsid w:val="00F22D09"/>
    <w:rsid w:val="00F2466D"/>
    <w:rsid w:val="00F24AC2"/>
    <w:rsid w:val="00F24DD0"/>
    <w:rsid w:val="00F25214"/>
    <w:rsid w:val="00F253FF"/>
    <w:rsid w:val="00F2548E"/>
    <w:rsid w:val="00F255D2"/>
    <w:rsid w:val="00F25965"/>
    <w:rsid w:val="00F3080C"/>
    <w:rsid w:val="00F32724"/>
    <w:rsid w:val="00F32751"/>
    <w:rsid w:val="00F32B6D"/>
    <w:rsid w:val="00F339CE"/>
    <w:rsid w:val="00F33E0A"/>
    <w:rsid w:val="00F33E76"/>
    <w:rsid w:val="00F342F9"/>
    <w:rsid w:val="00F3511E"/>
    <w:rsid w:val="00F3516E"/>
    <w:rsid w:val="00F35698"/>
    <w:rsid w:val="00F35C0E"/>
    <w:rsid w:val="00F360F2"/>
    <w:rsid w:val="00F3615E"/>
    <w:rsid w:val="00F366A6"/>
    <w:rsid w:val="00F36848"/>
    <w:rsid w:val="00F37E58"/>
    <w:rsid w:val="00F40121"/>
    <w:rsid w:val="00F40C9F"/>
    <w:rsid w:val="00F40F3D"/>
    <w:rsid w:val="00F4238C"/>
    <w:rsid w:val="00F42995"/>
    <w:rsid w:val="00F44638"/>
    <w:rsid w:val="00F4580C"/>
    <w:rsid w:val="00F45CB7"/>
    <w:rsid w:val="00F45CE5"/>
    <w:rsid w:val="00F47E58"/>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A89"/>
    <w:rsid w:val="00F627C0"/>
    <w:rsid w:val="00F63955"/>
    <w:rsid w:val="00F64287"/>
    <w:rsid w:val="00F651BC"/>
    <w:rsid w:val="00F66714"/>
    <w:rsid w:val="00F67355"/>
    <w:rsid w:val="00F6768C"/>
    <w:rsid w:val="00F67CCA"/>
    <w:rsid w:val="00F67FA4"/>
    <w:rsid w:val="00F702B4"/>
    <w:rsid w:val="00F703BF"/>
    <w:rsid w:val="00F70415"/>
    <w:rsid w:val="00F7071C"/>
    <w:rsid w:val="00F70AC4"/>
    <w:rsid w:val="00F70B2D"/>
    <w:rsid w:val="00F70B9C"/>
    <w:rsid w:val="00F71605"/>
    <w:rsid w:val="00F719E6"/>
    <w:rsid w:val="00F72C4B"/>
    <w:rsid w:val="00F73BE0"/>
    <w:rsid w:val="00F74CF3"/>
    <w:rsid w:val="00F74E2A"/>
    <w:rsid w:val="00F754D5"/>
    <w:rsid w:val="00F75864"/>
    <w:rsid w:val="00F765B8"/>
    <w:rsid w:val="00F7673F"/>
    <w:rsid w:val="00F76753"/>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62E"/>
    <w:rsid w:val="00F90A32"/>
    <w:rsid w:val="00F90BF8"/>
    <w:rsid w:val="00F939F8"/>
    <w:rsid w:val="00F95744"/>
    <w:rsid w:val="00F95AA3"/>
    <w:rsid w:val="00F95FEA"/>
    <w:rsid w:val="00F96996"/>
    <w:rsid w:val="00F969F9"/>
    <w:rsid w:val="00F9713C"/>
    <w:rsid w:val="00F97A57"/>
    <w:rsid w:val="00F97A99"/>
    <w:rsid w:val="00F97C7F"/>
    <w:rsid w:val="00FA1420"/>
    <w:rsid w:val="00FA2430"/>
    <w:rsid w:val="00FA283D"/>
    <w:rsid w:val="00FA30A3"/>
    <w:rsid w:val="00FA3375"/>
    <w:rsid w:val="00FA45A1"/>
    <w:rsid w:val="00FA46DF"/>
    <w:rsid w:val="00FA5E02"/>
    <w:rsid w:val="00FA69B8"/>
    <w:rsid w:val="00FA71CF"/>
    <w:rsid w:val="00FA7580"/>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83E"/>
    <w:rsid w:val="00FC0A2B"/>
    <w:rsid w:val="00FC0AC7"/>
    <w:rsid w:val="00FC13CE"/>
    <w:rsid w:val="00FC1AA8"/>
    <w:rsid w:val="00FC1E9E"/>
    <w:rsid w:val="00FC298C"/>
    <w:rsid w:val="00FC2B12"/>
    <w:rsid w:val="00FC49D3"/>
    <w:rsid w:val="00FC5451"/>
    <w:rsid w:val="00FC576C"/>
    <w:rsid w:val="00FC5E20"/>
    <w:rsid w:val="00FC5FCB"/>
    <w:rsid w:val="00FC6292"/>
    <w:rsid w:val="00FC727D"/>
    <w:rsid w:val="00FC769C"/>
    <w:rsid w:val="00FC7972"/>
    <w:rsid w:val="00FD047C"/>
    <w:rsid w:val="00FD059E"/>
    <w:rsid w:val="00FD18B2"/>
    <w:rsid w:val="00FD2AA0"/>
    <w:rsid w:val="00FD3C8C"/>
    <w:rsid w:val="00FD4802"/>
    <w:rsid w:val="00FD4A6F"/>
    <w:rsid w:val="00FD53C0"/>
    <w:rsid w:val="00FD59F0"/>
    <w:rsid w:val="00FD66D6"/>
    <w:rsid w:val="00FD66D7"/>
    <w:rsid w:val="00FE08AC"/>
    <w:rsid w:val="00FE122D"/>
    <w:rsid w:val="00FE164A"/>
    <w:rsid w:val="00FE1B3A"/>
    <w:rsid w:val="00FE27FA"/>
    <w:rsid w:val="00FE2991"/>
    <w:rsid w:val="00FE3AA6"/>
    <w:rsid w:val="00FE3F4C"/>
    <w:rsid w:val="00FE3F69"/>
    <w:rsid w:val="00FE403B"/>
    <w:rsid w:val="00FE4661"/>
    <w:rsid w:val="00FE47B0"/>
    <w:rsid w:val="00FE6398"/>
    <w:rsid w:val="00FE6608"/>
    <w:rsid w:val="00FE7611"/>
    <w:rsid w:val="00FF026D"/>
    <w:rsid w:val="00FF155B"/>
    <w:rsid w:val="00FF2213"/>
    <w:rsid w:val="00FF244B"/>
    <w:rsid w:val="00FF2F0B"/>
    <w:rsid w:val="00FF3F3A"/>
    <w:rsid w:val="00FF4763"/>
    <w:rsid w:val="00FF54D0"/>
    <w:rsid w:val="00FF55B8"/>
    <w:rsid w:val="00FF5F8A"/>
    <w:rsid w:val="00FF694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A38461D"/>
  <w15:docId w15:val="{B61F946E-EA9B-40D6-9661-37BE67C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30"/>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ed.gov/idea/files/2024_Part-C_SPP-APR_Measurement_Table.pdf" TargetMode="External"/><Relationship Id="rId18" Type="http://schemas.openxmlformats.org/officeDocument/2006/relationships/hyperlink" Target="https://emaps.ed.gov/suit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tes.ed.gov/idea/topic-are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ites.ed.gov/idea/how-the-department-made-determina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osepideasthatwork.org/resources-grantees/program-areas/monitoring-and-state-improvement-planning-msip?tab=pa-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sites.ed.gov/idea/how-the-department-made-determin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inits/ed/edfacts/index.html" TargetMode="External"/><Relationship Id="rId22" Type="http://schemas.openxmlformats.org/officeDocument/2006/relationships/hyperlink" Target="https://compcenternetwork.org/stat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c3e24bf7aafe855da359270fb3175a4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dcf66c8206fc74f4d79f0ec460abc3a7"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2.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060031DA-E3A9-4F53-A283-C5DB7E81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TotalTime>
  <Pages>75</Pages>
  <Words>48284</Words>
  <Characters>275219</Characters>
  <Application>Microsoft Office Word</Application>
  <DocSecurity>0</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Jalin T. McSwyne</cp:lastModifiedBy>
  <cp:revision>2</cp:revision>
  <cp:lastPrinted>2014-08-19T16:56:00Z</cp:lastPrinted>
  <dcterms:created xsi:type="dcterms:W3CDTF">2024-10-28T16:07:00Z</dcterms:created>
  <dcterms:modified xsi:type="dcterms:W3CDTF">2024-10-28T16:07:00Z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